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0F" w:rsidRPr="00441A16" w:rsidRDefault="00EC1B0F" w:rsidP="00EC1B0F">
      <w:pPr>
        <w:jc w:val="center"/>
        <w:rPr>
          <w:b/>
        </w:rPr>
      </w:pPr>
      <w:r w:rsidRPr="00441A16">
        <w:rPr>
          <w:b/>
        </w:rPr>
        <w:t>Central Wisconsin Health Partnership</w:t>
      </w:r>
    </w:p>
    <w:p w:rsidR="00EC1B0F" w:rsidRPr="00441A16" w:rsidRDefault="00EC1B0F" w:rsidP="00EC1B0F">
      <w:pPr>
        <w:jc w:val="center"/>
        <w:rPr>
          <w:b/>
        </w:rPr>
      </w:pPr>
      <w:r w:rsidRPr="00441A16">
        <w:rPr>
          <w:b/>
        </w:rPr>
        <w:t>Comprehensive Community Services Regional Coordinating Committee</w:t>
      </w:r>
    </w:p>
    <w:p w:rsidR="00EC1B0F" w:rsidRPr="00441A16" w:rsidRDefault="00EC1B0F" w:rsidP="00EC1B0F">
      <w:pPr>
        <w:spacing w:before="120"/>
        <w:jc w:val="center"/>
      </w:pPr>
      <w:r w:rsidRPr="00441A16">
        <w:rPr>
          <w:b/>
          <w:sz w:val="24"/>
        </w:rPr>
        <w:t>Quality Improvement Committee</w:t>
      </w:r>
    </w:p>
    <w:p w:rsidR="00EC1B0F" w:rsidRPr="00441A16" w:rsidRDefault="00EC1B0F" w:rsidP="00EC1B0F">
      <w:pPr>
        <w:pBdr>
          <w:bottom w:val="single" w:sz="4" w:space="1" w:color="auto"/>
        </w:pBdr>
        <w:jc w:val="center"/>
      </w:pPr>
      <w:r w:rsidRPr="00441A16">
        <w:t>Marquette County Department of Human Services</w:t>
      </w:r>
    </w:p>
    <w:p w:rsidR="00EC1B0F" w:rsidRPr="00441A16" w:rsidRDefault="00EC1B0F" w:rsidP="00EC1B0F">
      <w:pPr>
        <w:pBdr>
          <w:bottom w:val="single" w:sz="4" w:space="1" w:color="auto"/>
        </w:pBdr>
        <w:jc w:val="center"/>
      </w:pPr>
      <w:r w:rsidRPr="00441A16">
        <w:t>Thursday</w:t>
      </w:r>
      <w:r w:rsidR="00456B11">
        <w:t>, July 26</w:t>
      </w:r>
      <w:r w:rsidR="00456B11" w:rsidRPr="00456B11">
        <w:rPr>
          <w:vertAlign w:val="superscript"/>
        </w:rPr>
        <w:t>th</w:t>
      </w:r>
      <w:r w:rsidRPr="00441A16">
        <w:t>, 2015</w:t>
      </w:r>
    </w:p>
    <w:p w:rsidR="00EC1B0F" w:rsidRDefault="00EC1B0F" w:rsidP="00A9351B"/>
    <w:p w:rsidR="00A9351B" w:rsidRDefault="00A9351B" w:rsidP="00A9351B">
      <w:r w:rsidRPr="007841FD">
        <w:rPr>
          <w:b/>
        </w:rPr>
        <w:t>Present:</w:t>
      </w:r>
      <w:r>
        <w:t xml:space="preserve"> Erika Dorrington</w:t>
      </w:r>
      <w:r w:rsidR="007D14AE">
        <w:t xml:space="preserve">, </w:t>
      </w:r>
      <w:proofErr w:type="spellStart"/>
      <w:r>
        <w:t>Tancy</w:t>
      </w:r>
      <w:proofErr w:type="spellEnd"/>
      <w:r>
        <w:t xml:space="preserve"> </w:t>
      </w:r>
      <w:proofErr w:type="spellStart"/>
      <w:r>
        <w:t>Helmin</w:t>
      </w:r>
      <w:proofErr w:type="spellEnd"/>
      <w:r>
        <w:t xml:space="preserve">, </w:t>
      </w:r>
      <w:r w:rsidR="007D14AE">
        <w:t xml:space="preserve">and Joann Stephens, </w:t>
      </w:r>
      <w:r>
        <w:t>Consumer/Community Representation; Allison Else</w:t>
      </w:r>
      <w:r w:rsidR="007D14AE">
        <w:t>, Adams County</w:t>
      </w:r>
      <w:r>
        <w:t xml:space="preserve">; Gretchen </w:t>
      </w:r>
      <w:proofErr w:type="spellStart"/>
      <w:r>
        <w:t>Malkowsky</w:t>
      </w:r>
      <w:proofErr w:type="spellEnd"/>
      <w:r>
        <w:t xml:space="preserve">, Green Lake County; </w:t>
      </w:r>
      <w:r w:rsidR="007D14AE">
        <w:t xml:space="preserve">JoAnn Geiger and Amanda </w:t>
      </w:r>
      <w:proofErr w:type="spellStart"/>
      <w:r w:rsidR="007D14AE">
        <w:t>Negaard</w:t>
      </w:r>
      <w:proofErr w:type="spellEnd"/>
      <w:r w:rsidR="007D14AE">
        <w:t xml:space="preserve">, </w:t>
      </w:r>
      <w:r>
        <w:t>Juneau County</w:t>
      </w:r>
      <w:r w:rsidR="007D14AE">
        <w:t>; Dan Naylor</w:t>
      </w:r>
      <w:r w:rsidR="007841FD">
        <w:t xml:space="preserve"> and Lori Martin, White Pine Consulting Service</w:t>
      </w:r>
      <w:r w:rsidR="007D14AE">
        <w:t>; Julie Shew, DHS Northeast Regional Office</w:t>
      </w:r>
    </w:p>
    <w:p w:rsidR="00A9351B" w:rsidRPr="00441A16" w:rsidRDefault="00A9351B" w:rsidP="003271F1">
      <w:pPr>
        <w:jc w:val="center"/>
      </w:pPr>
    </w:p>
    <w:p w:rsidR="003271F1" w:rsidRPr="00441A16" w:rsidRDefault="00456B11" w:rsidP="003271F1">
      <w:pPr>
        <w:pStyle w:val="ListParagraph"/>
        <w:numPr>
          <w:ilvl w:val="0"/>
          <w:numId w:val="1"/>
        </w:numPr>
        <w:ind w:left="360"/>
        <w:contextualSpacing w:val="0"/>
      </w:pPr>
      <w:r>
        <w:rPr>
          <w:b/>
        </w:rPr>
        <w:t>2015 Regional CCS Survey Data</w:t>
      </w:r>
    </w:p>
    <w:p w:rsidR="00456B11" w:rsidRDefault="007D14AE" w:rsidP="00456B11">
      <w:pPr>
        <w:pStyle w:val="ListParagraph"/>
        <w:numPr>
          <w:ilvl w:val="2"/>
          <w:numId w:val="1"/>
        </w:numPr>
        <w:spacing w:before="60"/>
        <w:ind w:left="720" w:hanging="360"/>
        <w:contextualSpacing w:val="0"/>
      </w:pPr>
      <w:r>
        <w:t>Lori r</w:t>
      </w:r>
      <w:r w:rsidR="00456B11">
        <w:t>eceived the raw data from the four counties who were certified in 2015 from Dr. Laura Blakeslee.   Includes data related to:</w:t>
      </w:r>
    </w:p>
    <w:p w:rsidR="00456B11" w:rsidRDefault="00456B11" w:rsidP="00456B11">
      <w:pPr>
        <w:pStyle w:val="ListParagraph"/>
        <w:numPr>
          <w:ilvl w:val="3"/>
          <w:numId w:val="1"/>
        </w:numPr>
        <w:spacing w:before="60"/>
        <w:ind w:left="1080"/>
        <w:contextualSpacing w:val="0"/>
      </w:pPr>
      <w:r>
        <w:t>enrollments and discharges, including reasons for discharge, and living environment at time of discharge</w:t>
      </w:r>
    </w:p>
    <w:p w:rsidR="00456B11" w:rsidRDefault="00456B11" w:rsidP="00456B11">
      <w:pPr>
        <w:pStyle w:val="ListParagraph"/>
        <w:numPr>
          <w:ilvl w:val="3"/>
          <w:numId w:val="1"/>
        </w:numPr>
        <w:spacing w:before="60"/>
        <w:ind w:left="1080"/>
        <w:contextualSpacing w:val="0"/>
      </w:pPr>
      <w:r>
        <w:t xml:space="preserve">demographic information of consumers served (age, gender, race, and ethnicity) </w:t>
      </w:r>
    </w:p>
    <w:p w:rsidR="00456B11" w:rsidRDefault="00456B11" w:rsidP="00456B11">
      <w:pPr>
        <w:pStyle w:val="ListParagraph"/>
        <w:numPr>
          <w:ilvl w:val="3"/>
          <w:numId w:val="1"/>
        </w:numPr>
        <w:spacing w:before="60"/>
        <w:ind w:left="1080"/>
        <w:contextualSpacing w:val="0"/>
      </w:pPr>
      <w:r>
        <w:t>use of Evidence Based Practices</w:t>
      </w:r>
    </w:p>
    <w:p w:rsidR="003271F1" w:rsidRPr="00441A16" w:rsidRDefault="00456B11" w:rsidP="00456B11">
      <w:pPr>
        <w:pStyle w:val="ListParagraph"/>
        <w:numPr>
          <w:ilvl w:val="3"/>
          <w:numId w:val="1"/>
        </w:numPr>
        <w:spacing w:before="60"/>
        <w:ind w:left="720"/>
        <w:contextualSpacing w:val="0"/>
      </w:pPr>
      <w:r>
        <w:t>Lori has started preparing a regional data report that will be shared with the committee</w:t>
      </w:r>
    </w:p>
    <w:p w:rsidR="00825AD2" w:rsidRPr="00441A16" w:rsidRDefault="00825AD2" w:rsidP="003271F1">
      <w:pPr>
        <w:pStyle w:val="ListParagraph"/>
        <w:ind w:left="1080"/>
        <w:contextualSpacing w:val="0"/>
      </w:pPr>
    </w:p>
    <w:p w:rsidR="00825AD2" w:rsidRPr="00441A16" w:rsidRDefault="00870C50" w:rsidP="003271F1">
      <w:pPr>
        <w:pStyle w:val="ListParagraph"/>
        <w:numPr>
          <w:ilvl w:val="0"/>
          <w:numId w:val="1"/>
        </w:numPr>
        <w:ind w:left="360"/>
        <w:contextualSpacing w:val="0"/>
        <w:rPr>
          <w:b/>
        </w:rPr>
      </w:pPr>
      <w:r>
        <w:rPr>
          <w:b/>
        </w:rPr>
        <w:t>Regionalization of Forms</w:t>
      </w:r>
    </w:p>
    <w:p w:rsidR="003271F1" w:rsidRDefault="00870C50" w:rsidP="000B317B">
      <w:pPr>
        <w:pStyle w:val="ListParagraph"/>
        <w:numPr>
          <w:ilvl w:val="0"/>
          <w:numId w:val="7"/>
        </w:numPr>
        <w:spacing w:before="60"/>
        <w:ind w:left="720"/>
        <w:contextualSpacing w:val="0"/>
      </w:pPr>
      <w:r>
        <w:t xml:space="preserve">Lori submitted the Assessment form to the </w:t>
      </w:r>
      <w:r w:rsidR="007D14AE">
        <w:t>Division of Mental Health and Substance Abuse Services (</w:t>
      </w:r>
      <w:r>
        <w:t>DMHSAS</w:t>
      </w:r>
      <w:r w:rsidR="007D14AE">
        <w:t>)</w:t>
      </w:r>
      <w:r>
        <w:t xml:space="preserve"> and </w:t>
      </w:r>
      <w:r w:rsidR="007D14AE">
        <w:t>Division of Quality Assurance (</w:t>
      </w:r>
      <w:r>
        <w:t>DQA</w:t>
      </w:r>
      <w:r w:rsidR="007D14AE">
        <w:t>)</w:t>
      </w:r>
      <w:r>
        <w:t xml:space="preserve"> on 7/7/16</w:t>
      </w:r>
      <w:r w:rsidR="007D14AE">
        <w:t>.  Both Langeston Hughes (DMHSAS), and Hannah Whaley (DQA) said they would review.</w:t>
      </w:r>
    </w:p>
    <w:p w:rsidR="00870C50" w:rsidRPr="00441A16" w:rsidRDefault="007D14AE" w:rsidP="000B317B">
      <w:pPr>
        <w:pStyle w:val="ListParagraph"/>
        <w:numPr>
          <w:ilvl w:val="0"/>
          <w:numId w:val="7"/>
        </w:numPr>
        <w:spacing w:before="60"/>
        <w:ind w:left="720"/>
        <w:contextualSpacing w:val="0"/>
      </w:pPr>
      <w:r>
        <w:t xml:space="preserve">The next form to be regionalized will likely be the Service Plan.  Juneau County has recently revised their plan based on information from </w:t>
      </w:r>
      <w:proofErr w:type="spellStart"/>
      <w:r>
        <w:t>Langeston’s</w:t>
      </w:r>
      <w:proofErr w:type="spellEnd"/>
      <w:r>
        <w:t xml:space="preserve"> workshop on documentation in May, as well as Office of Inspector General (OIG) audit results.  Lori welcomes samples from other sites as well.</w:t>
      </w:r>
    </w:p>
    <w:p w:rsidR="00441A16" w:rsidRPr="00441A16" w:rsidRDefault="00441A16" w:rsidP="00441A16">
      <w:pPr>
        <w:pStyle w:val="ListParagraph"/>
        <w:ind w:left="360"/>
        <w:contextualSpacing w:val="0"/>
      </w:pPr>
    </w:p>
    <w:p w:rsidR="00C00B32" w:rsidRPr="00441A16" w:rsidRDefault="00870C50" w:rsidP="003271F1">
      <w:pPr>
        <w:pStyle w:val="ListParagraph"/>
        <w:numPr>
          <w:ilvl w:val="0"/>
          <w:numId w:val="1"/>
        </w:numPr>
        <w:ind w:left="360"/>
        <w:contextualSpacing w:val="0"/>
        <w:rPr>
          <w:b/>
        </w:rPr>
      </w:pPr>
      <w:r>
        <w:rPr>
          <w:b/>
        </w:rPr>
        <w:t>Internal Consumer File Audits</w:t>
      </w:r>
    </w:p>
    <w:p w:rsidR="006C1BDA" w:rsidRDefault="007D14AE" w:rsidP="00870C50">
      <w:pPr>
        <w:pStyle w:val="ListParagraph"/>
        <w:numPr>
          <w:ilvl w:val="2"/>
          <w:numId w:val="1"/>
        </w:numPr>
        <w:spacing w:before="60"/>
        <w:ind w:left="720" w:hanging="360"/>
        <w:contextualSpacing w:val="0"/>
      </w:pPr>
      <w:r>
        <w:t>The DHS Northeast Regional Office sponsored a regional CCS meeting on</w:t>
      </w:r>
      <w:r w:rsidR="003A5230">
        <w:t xml:space="preserve"> </w:t>
      </w:r>
      <w:r>
        <w:t>July 6th</w:t>
      </w:r>
      <w:r w:rsidR="003A5230">
        <w:t xml:space="preserve">, arranged by Robin Raj.  </w:t>
      </w:r>
      <w:r>
        <w:t>OIG audit results were discussed, and as a result there was a recommendation that the region develop a draft</w:t>
      </w:r>
      <w:r w:rsidR="003A5230">
        <w:t xml:space="preserve"> </w:t>
      </w:r>
      <w:r>
        <w:t xml:space="preserve">internal audit </w:t>
      </w:r>
      <w:r w:rsidR="003A5230">
        <w:t xml:space="preserve">checklist </w:t>
      </w:r>
      <w:r>
        <w:t xml:space="preserve">for </w:t>
      </w:r>
      <w:proofErr w:type="spellStart"/>
      <w:r>
        <w:t>Langeston’s</w:t>
      </w:r>
      <w:proofErr w:type="spellEnd"/>
      <w:r>
        <w:t xml:space="preserve"> review.  A follow-up meeting has been scheduled for August 4</w:t>
      </w:r>
      <w:r w:rsidRPr="007D14AE">
        <w:rPr>
          <w:vertAlign w:val="superscript"/>
        </w:rPr>
        <w:t>th</w:t>
      </w:r>
      <w:r>
        <w:t>, which Lori will attend on behalf of the region.  County representatives were encouraged to bring their draft checklists for the groups consideration.  Lori developed and shared a draft checklist with Robin, to share at the meeting.</w:t>
      </w:r>
    </w:p>
    <w:p w:rsidR="003A5230" w:rsidRDefault="0082037F" w:rsidP="00870C50">
      <w:pPr>
        <w:pStyle w:val="ListParagraph"/>
        <w:numPr>
          <w:ilvl w:val="2"/>
          <w:numId w:val="1"/>
        </w:numPr>
        <w:spacing w:before="60"/>
        <w:ind w:left="720" w:hanging="360"/>
        <w:contextualSpacing w:val="0"/>
      </w:pPr>
      <w:r>
        <w:t xml:space="preserve">Waushara County has requested </w:t>
      </w:r>
      <w:r w:rsidR="007D14AE">
        <w:t xml:space="preserve">Lori </w:t>
      </w:r>
      <w:r>
        <w:t>come and utilize the checklist to review a sampling of their files and offer feedback.  This is being planned for late August.</w:t>
      </w:r>
    </w:p>
    <w:p w:rsidR="00441A16" w:rsidRPr="00441A16" w:rsidRDefault="00441A16" w:rsidP="00441A16">
      <w:pPr>
        <w:pStyle w:val="ListParagraph"/>
        <w:ind w:left="360"/>
        <w:contextualSpacing w:val="0"/>
      </w:pPr>
    </w:p>
    <w:p w:rsidR="00C8542C" w:rsidRPr="00441A16" w:rsidRDefault="00C8542C" w:rsidP="003271F1">
      <w:pPr>
        <w:pStyle w:val="ListParagraph"/>
        <w:numPr>
          <w:ilvl w:val="0"/>
          <w:numId w:val="1"/>
        </w:numPr>
        <w:ind w:left="360"/>
        <w:contextualSpacing w:val="0"/>
        <w:rPr>
          <w:b/>
        </w:rPr>
      </w:pPr>
      <w:r w:rsidRPr="00441A16">
        <w:rPr>
          <w:b/>
        </w:rPr>
        <w:t>Use of Evidence Based Practices</w:t>
      </w:r>
      <w:r w:rsidR="00C56B16">
        <w:rPr>
          <w:b/>
        </w:rPr>
        <w:t xml:space="preserve"> (EBPs)</w:t>
      </w:r>
    </w:p>
    <w:p w:rsidR="001A04DC" w:rsidRDefault="00CA46DE" w:rsidP="001D26EB">
      <w:pPr>
        <w:pStyle w:val="ListParagraph"/>
        <w:numPr>
          <w:ilvl w:val="0"/>
          <w:numId w:val="8"/>
        </w:numPr>
        <w:tabs>
          <w:tab w:val="left" w:pos="720"/>
        </w:tabs>
        <w:spacing w:before="60"/>
        <w:ind w:left="720"/>
        <w:contextualSpacing w:val="0"/>
      </w:pPr>
      <w:r>
        <w:t>Allison Else presented an overview of EBPs at the June 20</w:t>
      </w:r>
      <w:r w:rsidRPr="001A04DC">
        <w:rPr>
          <w:vertAlign w:val="superscript"/>
        </w:rPr>
        <w:t>th</w:t>
      </w:r>
      <w:r>
        <w:t xml:space="preserve"> Service Facilitator meeting.  </w:t>
      </w:r>
      <w:r w:rsidR="001A04DC">
        <w:t>T</w:t>
      </w:r>
      <w:r>
        <w:t xml:space="preserve">he service facilitators </w:t>
      </w:r>
      <w:r w:rsidR="001A04DC">
        <w:t xml:space="preserve">were asked </w:t>
      </w:r>
      <w:r>
        <w:t>to consider the needs of the consumers they work with, and what EBP(s) may make sense to pursue as a r</w:t>
      </w:r>
      <w:r w:rsidR="001A04DC">
        <w:t>egion.  The Service Facilitator group expressed specific interest i</w:t>
      </w:r>
      <w:r>
        <w:t>n Sup</w:t>
      </w:r>
      <w:r w:rsidR="001A04DC">
        <w:t>ported Employment (SE), which has also been mentioned by the Service Directors in the past as a possible area of interest.   Discussed the importance of agency (and regional) buy-in.  Allison offered a contact with La Crosse County who historically has a lot of experience with SE</w:t>
      </w:r>
      <w:r w:rsidR="00E24AB0">
        <w:t xml:space="preserve">; </w:t>
      </w:r>
      <w:r w:rsidR="001A04DC">
        <w:t>Dan offered to follow-up with her.</w:t>
      </w:r>
    </w:p>
    <w:p w:rsidR="001A04DC" w:rsidRDefault="001A04DC" w:rsidP="001D26EB">
      <w:pPr>
        <w:pStyle w:val="ListParagraph"/>
        <w:numPr>
          <w:ilvl w:val="0"/>
          <w:numId w:val="8"/>
        </w:numPr>
        <w:tabs>
          <w:tab w:val="left" w:pos="720"/>
        </w:tabs>
        <w:spacing w:before="60"/>
        <w:ind w:left="720"/>
        <w:contextualSpacing w:val="0"/>
      </w:pPr>
      <w:r>
        <w:t xml:space="preserve">Waushara and Adams Counties are both going through extensive training related to Trauma-Focused Cognitive Behavioral Therapy (TF-CBT).  The </w:t>
      </w:r>
      <w:r w:rsidR="00E24AB0">
        <w:t>committee</w:t>
      </w:r>
      <w:r>
        <w:t xml:space="preserve"> would like them to share their experience – possibly at a Regional Coordinating Committee meeting in early 2017.  </w:t>
      </w:r>
    </w:p>
    <w:p w:rsidR="00C56B16" w:rsidRDefault="00C56B16" w:rsidP="00C56B16"/>
    <w:p w:rsidR="00E24AB0" w:rsidRPr="00441A16" w:rsidRDefault="00E24AB0" w:rsidP="00C56B16"/>
    <w:p w:rsidR="00EC1B0F" w:rsidRDefault="001D4798" w:rsidP="003271F1">
      <w:pPr>
        <w:pStyle w:val="ListParagraph"/>
        <w:numPr>
          <w:ilvl w:val="0"/>
          <w:numId w:val="1"/>
        </w:numPr>
        <w:ind w:left="360"/>
        <w:contextualSpacing w:val="0"/>
        <w:rPr>
          <w:b/>
        </w:rPr>
      </w:pPr>
      <w:r>
        <w:rPr>
          <w:b/>
        </w:rPr>
        <w:lastRenderedPageBreak/>
        <w:t>2016 Consumer Satisfaction Survey</w:t>
      </w:r>
    </w:p>
    <w:p w:rsidR="001D4798" w:rsidRDefault="00A03A5D" w:rsidP="00E24AB0">
      <w:pPr>
        <w:pStyle w:val="ListParagraph"/>
        <w:numPr>
          <w:ilvl w:val="0"/>
          <w:numId w:val="10"/>
        </w:numPr>
        <w:spacing w:before="60"/>
        <w:ind w:left="720"/>
        <w:contextualSpacing w:val="0"/>
      </w:pPr>
      <w:r>
        <w:t>Lori followed up with Langeston Hughes and Tim Connor regarding the 2016 Consumer Satisfaction Survey</w:t>
      </w:r>
      <w:r w:rsidR="000C761C">
        <w:t>; neither had specific information</w:t>
      </w:r>
      <w:r w:rsidR="00E24AB0">
        <w:t xml:space="preserve"> related timing</w:t>
      </w:r>
      <w:r>
        <w:t xml:space="preserve">.  </w:t>
      </w:r>
      <w:r w:rsidR="000C761C">
        <w:t xml:space="preserve">Tim offered that we can expect the timing to be similar </w:t>
      </w:r>
      <w:r w:rsidR="00E24AB0">
        <w:t>to 2015, with a survey due date of November 30</w:t>
      </w:r>
      <w:r w:rsidR="00E24AB0" w:rsidRPr="00E24AB0">
        <w:rPr>
          <w:vertAlign w:val="superscript"/>
        </w:rPr>
        <w:t>th</w:t>
      </w:r>
      <w:r w:rsidR="00E24AB0">
        <w:t xml:space="preserve">.  </w:t>
      </w:r>
    </w:p>
    <w:p w:rsidR="00E24AB0" w:rsidRDefault="00E24AB0" w:rsidP="00E24AB0">
      <w:pPr>
        <w:pStyle w:val="ListParagraph"/>
        <w:numPr>
          <w:ilvl w:val="0"/>
          <w:numId w:val="10"/>
        </w:numPr>
        <w:spacing w:before="60"/>
        <w:ind w:left="720"/>
        <w:contextualSpacing w:val="0"/>
      </w:pPr>
      <w:r>
        <w:t>The committee reviewed the “2016 Consumer Satisfaction Survey Planning” handout (see Appendix A)</w:t>
      </w:r>
      <w:r w:rsidR="00957110">
        <w:t xml:space="preserve">.  Sites agreed to review and consider their distribution plans for further discussion at our next meeting. Discussed White Pine having a similar role as last year – collation and analysis of data, submission to the DMHSAS, and development of a regional report.  </w:t>
      </w:r>
    </w:p>
    <w:p w:rsidR="00BA5F5B" w:rsidRPr="003A5230" w:rsidRDefault="00BA5F5B" w:rsidP="00E24AB0">
      <w:pPr>
        <w:pStyle w:val="ListParagraph"/>
        <w:numPr>
          <w:ilvl w:val="0"/>
          <w:numId w:val="10"/>
        </w:numPr>
        <w:spacing w:before="60"/>
        <w:ind w:left="720"/>
        <w:contextualSpacing w:val="0"/>
      </w:pPr>
      <w:r>
        <w:t>Lori shar</w:t>
      </w:r>
      <w:r w:rsidR="00EB7460">
        <w:t>e</w:t>
      </w:r>
      <w:bookmarkStart w:id="0" w:name="_GoBack"/>
      <w:bookmarkEnd w:id="0"/>
      <w:r>
        <w:t xml:space="preserve">d that Sauk County had the highest survey return rate in 2015.  She has a call in to Jill Ellinwood to ask about their process in hopes she can share information that may be helpful to our region. </w:t>
      </w:r>
    </w:p>
    <w:p w:rsidR="00902B82" w:rsidRPr="00441A16" w:rsidRDefault="00902B82" w:rsidP="00902B82">
      <w:pPr>
        <w:ind w:left="720"/>
      </w:pPr>
    </w:p>
    <w:p w:rsidR="000B681B" w:rsidRPr="00441A16" w:rsidRDefault="000B681B" w:rsidP="003271F1">
      <w:pPr>
        <w:pStyle w:val="ListParagraph"/>
        <w:numPr>
          <w:ilvl w:val="0"/>
          <w:numId w:val="1"/>
        </w:numPr>
        <w:ind w:left="360"/>
        <w:contextualSpacing w:val="0"/>
        <w:rPr>
          <w:b/>
        </w:rPr>
      </w:pPr>
      <w:r w:rsidRPr="00441A16">
        <w:rPr>
          <w:b/>
        </w:rPr>
        <w:t>Other</w:t>
      </w:r>
    </w:p>
    <w:p w:rsidR="00441A16" w:rsidRPr="003A5230" w:rsidRDefault="006B0968" w:rsidP="000B317B">
      <w:pPr>
        <w:pStyle w:val="ListParagraph"/>
        <w:numPr>
          <w:ilvl w:val="1"/>
          <w:numId w:val="1"/>
        </w:numPr>
        <w:spacing w:before="60"/>
        <w:ind w:left="720"/>
        <w:contextualSpacing w:val="0"/>
      </w:pPr>
      <w:r w:rsidRPr="00A53B85">
        <w:rPr>
          <w:i/>
        </w:rPr>
        <w:t>DMHSAS CCS data / evaluation specialist update</w:t>
      </w:r>
      <w:r w:rsidRPr="003A5230">
        <w:t xml:space="preserve"> – </w:t>
      </w:r>
      <w:r w:rsidR="00BA5F5B">
        <w:t>Dr. Laura Blakeslee is no longer in her position as a data specialist with the DMHSAS.  Lori shared an update from Tim Connor that interviews for Dr. Blakeslee’s position have been completed and that they hope to have an announcement soon regarding a candidate accepting an offer.  In the meantime, Tim Connor and Langeston Hughes are our region’s contacts regarding CCS data and reporting.</w:t>
      </w:r>
    </w:p>
    <w:p w:rsidR="0083209E" w:rsidRDefault="006B0968" w:rsidP="0083209E">
      <w:pPr>
        <w:pStyle w:val="ListParagraph"/>
        <w:numPr>
          <w:ilvl w:val="0"/>
          <w:numId w:val="12"/>
        </w:numPr>
        <w:spacing w:after="120"/>
        <w:contextualSpacing w:val="0"/>
      </w:pPr>
      <w:r w:rsidRPr="00A53B85">
        <w:rPr>
          <w:i/>
        </w:rPr>
        <w:t xml:space="preserve">June 7th </w:t>
      </w:r>
      <w:r w:rsidR="00A53B85">
        <w:rPr>
          <w:i/>
        </w:rPr>
        <w:t>meeting with regional Fiscal M</w:t>
      </w:r>
      <w:r w:rsidRPr="00A53B85">
        <w:rPr>
          <w:i/>
        </w:rPr>
        <w:t>anager</w:t>
      </w:r>
      <w:r w:rsidR="00A53B85">
        <w:rPr>
          <w:i/>
        </w:rPr>
        <w:t>s</w:t>
      </w:r>
      <w:r w:rsidRPr="003A5230">
        <w:t xml:space="preserve"> – </w:t>
      </w:r>
      <w:r w:rsidR="00A53B85">
        <w:t>Lori met with the region’s Fiscal Managers</w:t>
      </w:r>
      <w:r w:rsidR="0083209E" w:rsidRPr="003A5230">
        <w:t xml:space="preserve"> regarding how to report </w:t>
      </w:r>
      <w:r w:rsidR="00A53B85">
        <w:t xml:space="preserve">White Pine’s CCS-related </w:t>
      </w:r>
      <w:r w:rsidR="0083209E" w:rsidRPr="003A5230">
        <w:t>costs</w:t>
      </w:r>
      <w:r w:rsidR="0083209E">
        <w:t xml:space="preserve"> through reconciliation process.  </w:t>
      </w:r>
      <w:r w:rsidR="00A53B85">
        <w:t>The goal was to e</w:t>
      </w:r>
      <w:r w:rsidR="0083209E">
        <w:t xml:space="preserve">nsure all counties are receiving </w:t>
      </w:r>
      <w:r w:rsidR="00A53B85">
        <w:t>the documentation they need</w:t>
      </w:r>
      <w:r w:rsidR="0083209E">
        <w:t xml:space="preserve">, and to ensure each county is reporting the information the same way to the MA reporting system. </w:t>
      </w:r>
      <w:r w:rsidR="00A53B85">
        <w:t xml:space="preserve"> As a result, White Pine prepared and sent an end-of-year report for 2015 expenditures to the Fiscal Managers.  The group also requested they be included in future CCS Regional Coordinating Committee meetings, including a regional fiscal item as a standing agenda item.</w:t>
      </w:r>
    </w:p>
    <w:p w:rsidR="006B0968" w:rsidRDefault="007952D0" w:rsidP="000B317B">
      <w:pPr>
        <w:pStyle w:val="ListParagraph"/>
        <w:numPr>
          <w:ilvl w:val="1"/>
          <w:numId w:val="1"/>
        </w:numPr>
        <w:spacing w:before="60"/>
        <w:ind w:left="720"/>
        <w:contextualSpacing w:val="0"/>
      </w:pPr>
      <w:r w:rsidRPr="00A53B85">
        <w:rPr>
          <w:i/>
        </w:rPr>
        <w:t>Statewide CCS meeting</w:t>
      </w:r>
      <w:r>
        <w:t xml:space="preserve"> – </w:t>
      </w:r>
      <w:r w:rsidR="00A53B85">
        <w:t xml:space="preserve">The next CCS Statewide Meeting is scheduled for </w:t>
      </w:r>
      <w:r>
        <w:t>September 7</w:t>
      </w:r>
      <w:r w:rsidRPr="007952D0">
        <w:rPr>
          <w:vertAlign w:val="superscript"/>
        </w:rPr>
        <w:t>th</w:t>
      </w:r>
      <w:r>
        <w:t xml:space="preserve"> </w:t>
      </w:r>
      <w:r w:rsidR="00A53B85">
        <w:t xml:space="preserve">in Wausau.  Lori will distribute additional information as it becomes available.  </w:t>
      </w:r>
    </w:p>
    <w:p w:rsidR="007952D0" w:rsidRDefault="00A53B85" w:rsidP="000B317B">
      <w:pPr>
        <w:pStyle w:val="ListParagraph"/>
        <w:numPr>
          <w:ilvl w:val="1"/>
          <w:numId w:val="1"/>
        </w:numPr>
        <w:spacing w:before="60"/>
        <w:ind w:left="720"/>
        <w:contextualSpacing w:val="0"/>
      </w:pPr>
      <w:r w:rsidRPr="00A53B85">
        <w:rPr>
          <w:i/>
        </w:rPr>
        <w:t xml:space="preserve">CCS Coordinating Committee Handbooks </w:t>
      </w:r>
      <w:r>
        <w:t xml:space="preserve">– Marquette County’s CCS Coordination Committee </w:t>
      </w:r>
      <w:r w:rsidR="007952D0">
        <w:t xml:space="preserve">discussed </w:t>
      </w:r>
      <w:r>
        <w:t xml:space="preserve">development of an orientation handbook for members, and identified individuals to be on a workgroup to develop a draft.  Dan </w:t>
      </w:r>
      <w:r w:rsidR="00E14321">
        <w:t>subsequently</w:t>
      </w:r>
      <w:r>
        <w:t xml:space="preserve"> sent a request to other partnering counties asking for suggested workgroup members; only Waushara County replied.  The suggestion is to start with development of a handbook for the CCS Regional Coordinating Committee that can be adapte</w:t>
      </w:r>
      <w:r w:rsidR="00E14321">
        <w:t>d for use by each county’s CCS committee.</w:t>
      </w:r>
    </w:p>
    <w:p w:rsidR="00F96973" w:rsidRPr="00441A16" w:rsidRDefault="00F96973" w:rsidP="00F96973">
      <w:pPr>
        <w:pStyle w:val="ListParagraph"/>
        <w:spacing w:before="80"/>
        <w:ind w:left="1080"/>
        <w:contextualSpacing w:val="0"/>
      </w:pPr>
    </w:p>
    <w:p w:rsidR="00B32E6C" w:rsidRDefault="00A1041D" w:rsidP="003271F1">
      <w:pPr>
        <w:pStyle w:val="ListParagraph"/>
        <w:numPr>
          <w:ilvl w:val="0"/>
          <w:numId w:val="1"/>
        </w:numPr>
        <w:ind w:left="360"/>
        <w:contextualSpacing w:val="0"/>
        <w:rPr>
          <w:b/>
        </w:rPr>
      </w:pPr>
      <w:r w:rsidRPr="00441A16">
        <w:rPr>
          <w:b/>
        </w:rPr>
        <w:t>Upcoming 2016 meetings (all 12:30 to 2:00</w:t>
      </w:r>
      <w:proofErr w:type="gramStart"/>
      <w:r w:rsidRPr="00441A16">
        <w:rPr>
          <w:b/>
        </w:rPr>
        <w:t>)  –</w:t>
      </w:r>
      <w:proofErr w:type="gramEnd"/>
      <w:r w:rsidR="00E14321">
        <w:rPr>
          <w:b/>
        </w:rPr>
        <w:t xml:space="preserve"> </w:t>
      </w:r>
      <w:r w:rsidRPr="00441A16">
        <w:rPr>
          <w:b/>
        </w:rPr>
        <w:t>September 22</w:t>
      </w:r>
      <w:r w:rsidRPr="00441A16">
        <w:rPr>
          <w:b/>
          <w:vertAlign w:val="superscript"/>
        </w:rPr>
        <w:t>nd</w:t>
      </w:r>
      <w:r w:rsidRPr="00441A16">
        <w:rPr>
          <w:b/>
        </w:rPr>
        <w:t>, and November 10</w:t>
      </w:r>
      <w:r w:rsidRPr="00441A16">
        <w:rPr>
          <w:b/>
          <w:vertAlign w:val="superscript"/>
        </w:rPr>
        <w:t>th</w:t>
      </w:r>
      <w:r w:rsidRPr="00441A16">
        <w:rPr>
          <w:b/>
        </w:rPr>
        <w:t xml:space="preserve"> </w:t>
      </w:r>
      <w:r w:rsidR="0083209E">
        <w:rPr>
          <w:b/>
        </w:rPr>
        <w:t>in Montell</w:t>
      </w:r>
      <w:r w:rsidR="00583941">
        <w:rPr>
          <w:b/>
        </w:rPr>
        <w:t>o</w:t>
      </w:r>
    </w:p>
    <w:p w:rsidR="00E24AB0" w:rsidRDefault="00E24AB0" w:rsidP="00E24AB0">
      <w:pPr>
        <w:rPr>
          <w:b/>
        </w:rPr>
      </w:pPr>
    </w:p>
    <w:p w:rsidR="00E24AB0" w:rsidRDefault="00E24AB0" w:rsidP="00E24AB0">
      <w:pPr>
        <w:rPr>
          <w:b/>
        </w:rPr>
      </w:pPr>
    </w:p>
    <w:p w:rsidR="00E24AB0" w:rsidRDefault="00E24AB0">
      <w:pPr>
        <w:spacing w:after="160" w:line="259" w:lineRule="auto"/>
        <w:rPr>
          <w:b/>
        </w:rPr>
      </w:pPr>
      <w:r>
        <w:rPr>
          <w:b/>
        </w:rPr>
        <w:br w:type="page"/>
      </w:r>
    </w:p>
    <w:p w:rsidR="00E24AB0" w:rsidRPr="00E24AB0" w:rsidRDefault="00E24AB0" w:rsidP="00E24AB0">
      <w:pPr>
        <w:pBdr>
          <w:bottom w:val="single" w:sz="4" w:space="1" w:color="auto"/>
        </w:pBdr>
        <w:rPr>
          <w:b/>
          <w:bCs/>
          <w:color w:val="000000"/>
          <w:sz w:val="24"/>
          <w:szCs w:val="28"/>
        </w:rPr>
      </w:pPr>
      <w:r w:rsidRPr="00E24AB0">
        <w:rPr>
          <w:b/>
          <w:bCs/>
          <w:color w:val="000000"/>
          <w:sz w:val="24"/>
          <w:szCs w:val="28"/>
        </w:rPr>
        <w:lastRenderedPageBreak/>
        <w:t>APPENDIX A</w:t>
      </w:r>
    </w:p>
    <w:p w:rsidR="00E24AB0" w:rsidRDefault="00E24AB0" w:rsidP="00E24AB0">
      <w:pPr>
        <w:pBdr>
          <w:bottom w:val="single" w:sz="4" w:space="1" w:color="auto"/>
        </w:pBdr>
        <w:jc w:val="center"/>
        <w:rPr>
          <w:b/>
          <w:bCs/>
          <w:color w:val="000000"/>
          <w:sz w:val="28"/>
          <w:szCs w:val="28"/>
        </w:rPr>
      </w:pPr>
      <w:r>
        <w:rPr>
          <w:b/>
          <w:bCs/>
          <w:color w:val="000000"/>
          <w:sz w:val="28"/>
          <w:szCs w:val="28"/>
        </w:rPr>
        <w:t>2016 Consumer Satisfaction Survey Planning</w:t>
      </w:r>
    </w:p>
    <w:p w:rsidR="00E24AB0" w:rsidRDefault="00E24AB0" w:rsidP="00E24AB0">
      <w:pPr>
        <w:rPr>
          <w:b/>
          <w:color w:val="000000"/>
          <w:sz w:val="24"/>
        </w:rPr>
      </w:pPr>
    </w:p>
    <w:p w:rsidR="00E24AB0" w:rsidRPr="009138D8" w:rsidRDefault="00E24AB0" w:rsidP="00E24AB0">
      <w:pPr>
        <w:rPr>
          <w:b/>
          <w:sz w:val="24"/>
        </w:rPr>
      </w:pPr>
      <w:r w:rsidRPr="009138D8">
        <w:rPr>
          <w:b/>
          <w:sz w:val="24"/>
        </w:rPr>
        <w:t>2015 Timeline:</w:t>
      </w:r>
    </w:p>
    <w:p w:rsidR="00E24AB0" w:rsidRDefault="00E24AB0" w:rsidP="00E24AB0">
      <w:pPr>
        <w:pStyle w:val="ListParagraph"/>
        <w:numPr>
          <w:ilvl w:val="0"/>
          <w:numId w:val="18"/>
        </w:numPr>
        <w:spacing w:before="60"/>
        <w:contextualSpacing w:val="0"/>
      </w:pPr>
      <w:r>
        <w:t>informational letter at the end of July</w:t>
      </w:r>
    </w:p>
    <w:p w:rsidR="00E24AB0" w:rsidRDefault="00E24AB0" w:rsidP="00E24AB0">
      <w:pPr>
        <w:pStyle w:val="ListParagraph"/>
        <w:numPr>
          <w:ilvl w:val="0"/>
          <w:numId w:val="18"/>
        </w:numPr>
        <w:spacing w:before="60"/>
        <w:contextualSpacing w:val="0"/>
      </w:pPr>
      <w:r>
        <w:t>phone conference mid-September</w:t>
      </w:r>
    </w:p>
    <w:p w:rsidR="00E24AB0" w:rsidRPr="009138D8" w:rsidRDefault="00E24AB0" w:rsidP="00E24AB0">
      <w:pPr>
        <w:pStyle w:val="ListParagraph"/>
        <w:numPr>
          <w:ilvl w:val="0"/>
          <w:numId w:val="18"/>
        </w:numPr>
        <w:spacing w:before="60"/>
        <w:contextualSpacing w:val="0"/>
        <w:rPr>
          <w:b/>
          <w:color w:val="000000"/>
          <w:sz w:val="24"/>
        </w:rPr>
      </w:pPr>
      <w:r>
        <w:t>survey due date of November 30</w:t>
      </w:r>
      <w:r w:rsidRPr="009138D8">
        <w:rPr>
          <w:vertAlign w:val="superscript"/>
        </w:rPr>
        <w:t>th</w:t>
      </w:r>
    </w:p>
    <w:p w:rsidR="00E24AB0" w:rsidRDefault="00E24AB0" w:rsidP="00E24AB0">
      <w:pPr>
        <w:rPr>
          <w:b/>
          <w:color w:val="000000"/>
          <w:sz w:val="24"/>
        </w:rPr>
      </w:pPr>
    </w:p>
    <w:p w:rsidR="00E24AB0" w:rsidRPr="0001432F" w:rsidRDefault="00E24AB0" w:rsidP="00E24AB0">
      <w:pPr>
        <w:rPr>
          <w:b/>
          <w:color w:val="000000"/>
          <w:sz w:val="24"/>
        </w:rPr>
      </w:pPr>
      <w:r w:rsidRPr="0001432F">
        <w:rPr>
          <w:b/>
          <w:color w:val="000000"/>
          <w:sz w:val="24"/>
        </w:rPr>
        <w:t>2015 Process:</w:t>
      </w:r>
    </w:p>
    <w:p w:rsidR="00E24AB0" w:rsidRDefault="00E24AB0" w:rsidP="00E24AB0">
      <w:pPr>
        <w:rPr>
          <w:color w:val="000000"/>
        </w:rPr>
      </w:pPr>
    </w:p>
    <w:p w:rsidR="00E24AB0" w:rsidRDefault="00E24AB0" w:rsidP="00E24AB0">
      <w:pPr>
        <w:ind w:left="360"/>
        <w:rPr>
          <w:color w:val="000000"/>
        </w:rPr>
      </w:pPr>
      <w:r>
        <w:rPr>
          <w:color w:val="000000"/>
        </w:rPr>
        <w:t>The regional CCS Quality Improvement Committee (a subcommittee of the CCS Regional Coordinating Committee) developed a plan for survey administration, data collection, and submission.  Survey administration was the responsibility of each individual county in the region; following is a summary of each county’s method of administration:</w:t>
      </w:r>
    </w:p>
    <w:p w:rsidR="00E24AB0" w:rsidRDefault="00E24AB0" w:rsidP="00E24AB0">
      <w:pPr>
        <w:pStyle w:val="ListParagraph"/>
        <w:numPr>
          <w:ilvl w:val="0"/>
          <w:numId w:val="16"/>
        </w:numPr>
        <w:spacing w:before="80"/>
        <w:ind w:left="1080"/>
        <w:contextualSpacing w:val="0"/>
        <w:rPr>
          <w:color w:val="000000"/>
        </w:rPr>
      </w:pPr>
      <w:r>
        <w:rPr>
          <w:color w:val="000000"/>
        </w:rPr>
        <w:t xml:space="preserve">Adams County – Support staff called eligible consumers to ask if they would like to complete a survey by phone or by mail.  Mailed surveys were returned to Adams County Health and Human Services Department.  Up to two follow-up calls were made for unreturned surveys. </w:t>
      </w:r>
    </w:p>
    <w:p w:rsidR="00E24AB0" w:rsidRDefault="00E24AB0" w:rsidP="00E24AB0">
      <w:pPr>
        <w:pStyle w:val="ListParagraph"/>
        <w:numPr>
          <w:ilvl w:val="0"/>
          <w:numId w:val="16"/>
        </w:numPr>
        <w:spacing w:before="80"/>
        <w:ind w:left="1080"/>
        <w:contextualSpacing w:val="0"/>
        <w:rPr>
          <w:color w:val="000000"/>
        </w:rPr>
      </w:pPr>
      <w:r>
        <w:rPr>
          <w:color w:val="000000"/>
        </w:rPr>
        <w:t xml:space="preserve">Green Lake County – The surveys were distributed to consumers either by mail or by a service facilitator.  Surveys were then returned in sealed envelopes to the CCS Service Director.   </w:t>
      </w:r>
    </w:p>
    <w:p w:rsidR="00E24AB0" w:rsidRDefault="00E24AB0" w:rsidP="00E24AB0">
      <w:pPr>
        <w:pStyle w:val="ListParagraph"/>
        <w:numPr>
          <w:ilvl w:val="0"/>
          <w:numId w:val="16"/>
        </w:numPr>
        <w:spacing w:before="80"/>
        <w:ind w:left="1080"/>
        <w:contextualSpacing w:val="0"/>
        <w:rPr>
          <w:color w:val="000000"/>
        </w:rPr>
      </w:pPr>
      <w:r>
        <w:rPr>
          <w:color w:val="000000"/>
        </w:rPr>
        <w:t>Juneau County – A psychosocial rehabilitation worker went with the service facilitator to each consumer’s home and assisted the consumer in the survey process.</w:t>
      </w:r>
    </w:p>
    <w:p w:rsidR="00E24AB0" w:rsidRDefault="00E24AB0" w:rsidP="00E24AB0">
      <w:pPr>
        <w:pStyle w:val="ListParagraph"/>
        <w:numPr>
          <w:ilvl w:val="0"/>
          <w:numId w:val="16"/>
        </w:numPr>
        <w:spacing w:before="80"/>
        <w:ind w:left="1080"/>
        <w:contextualSpacing w:val="0"/>
        <w:rPr>
          <w:color w:val="000000"/>
        </w:rPr>
      </w:pPr>
      <w:r w:rsidRPr="00BC4664">
        <w:rPr>
          <w:color w:val="000000"/>
        </w:rPr>
        <w:t xml:space="preserve">Waushara County – Initial calls were made to eligible consumers to solicit interest.  An AODA intern then met with a portion of the interested consumers to assist them in completing the surveys.  Consumers who are part of a CCS cooking group completed their surveys with assistance from the group’s facilitator.  One survey was completed by phone interview.  </w:t>
      </w:r>
    </w:p>
    <w:p w:rsidR="00E24AB0" w:rsidRDefault="00E24AB0" w:rsidP="00E24AB0">
      <w:pPr>
        <w:spacing w:before="120"/>
        <w:ind w:left="360"/>
        <w:rPr>
          <w:color w:val="000000"/>
        </w:rPr>
      </w:pPr>
      <w:r>
        <w:rPr>
          <w:color w:val="000000"/>
        </w:rPr>
        <w:t>Completed surveys from all four counties were submitted to White Pine Consulting for data collation, analysis, and submission to the Division of Mental Health and Substance Abuse Services.  White Pine developed a regional data report, which was shared with the Regional Coordinating Committee (RCC).  The RCC then made recommendations for follow-up and planning by the Quality Improvement committee.</w:t>
      </w:r>
    </w:p>
    <w:p w:rsidR="00E24AB0" w:rsidRDefault="00E24AB0" w:rsidP="00E24AB0">
      <w:pPr>
        <w:spacing w:before="120"/>
        <w:ind w:left="360"/>
        <w:rPr>
          <w:color w:val="000000"/>
        </w:rPr>
      </w:pPr>
    </w:p>
    <w:tbl>
      <w:tblPr>
        <w:tblW w:w="7920" w:type="dxa"/>
        <w:jc w:val="center"/>
        <w:tblLayout w:type="fixed"/>
        <w:tblLook w:val="04A0" w:firstRow="1" w:lastRow="0" w:firstColumn="1" w:lastColumn="0" w:noHBand="0" w:noVBand="1"/>
      </w:tblPr>
      <w:tblGrid>
        <w:gridCol w:w="1350"/>
        <w:gridCol w:w="1170"/>
        <w:gridCol w:w="1170"/>
        <w:gridCol w:w="1080"/>
        <w:gridCol w:w="810"/>
        <w:gridCol w:w="630"/>
        <w:gridCol w:w="900"/>
        <w:gridCol w:w="810"/>
      </w:tblGrid>
      <w:tr w:rsidR="00E24AB0" w:rsidRPr="00D063F7" w:rsidTr="002F42FD">
        <w:trPr>
          <w:trHeight w:val="69"/>
          <w:jc w:val="center"/>
        </w:trPr>
        <w:tc>
          <w:tcPr>
            <w:tcW w:w="7920" w:type="dxa"/>
            <w:gridSpan w:val="8"/>
            <w:tcBorders>
              <w:top w:val="nil"/>
              <w:left w:val="nil"/>
              <w:bottom w:val="nil"/>
            </w:tcBorders>
          </w:tcPr>
          <w:p w:rsidR="00E24AB0" w:rsidRPr="00D063F7" w:rsidRDefault="00E24AB0" w:rsidP="002F42FD">
            <w:pPr>
              <w:spacing w:before="40" w:after="120"/>
              <w:rPr>
                <w:rFonts w:eastAsia="Times New Roman" w:cs="Times New Roman"/>
                <w:b/>
                <w:bCs/>
                <w:color w:val="000000"/>
                <w:sz w:val="20"/>
                <w:szCs w:val="20"/>
              </w:rPr>
            </w:pPr>
            <w:r w:rsidRPr="00BC4664">
              <w:rPr>
                <w:rFonts w:eastAsia="Times New Roman" w:cs="Times New Roman"/>
                <w:b/>
                <w:bCs/>
                <w:color w:val="000000"/>
                <w:szCs w:val="20"/>
              </w:rPr>
              <w:t xml:space="preserve">Chart A. Regional </w:t>
            </w:r>
            <w:r>
              <w:rPr>
                <w:rFonts w:eastAsia="Times New Roman" w:cs="Times New Roman"/>
                <w:b/>
                <w:bCs/>
                <w:color w:val="000000"/>
                <w:szCs w:val="20"/>
              </w:rPr>
              <w:t xml:space="preserve">Consumer Satisfaction </w:t>
            </w:r>
            <w:r w:rsidRPr="00BC4664">
              <w:rPr>
                <w:rFonts w:eastAsia="Times New Roman" w:cs="Times New Roman"/>
                <w:b/>
                <w:bCs/>
                <w:color w:val="000000"/>
                <w:szCs w:val="20"/>
              </w:rPr>
              <w:t>Survey Distribution and Collection</w:t>
            </w:r>
          </w:p>
        </w:tc>
      </w:tr>
      <w:tr w:rsidR="00E24AB0" w:rsidRPr="00D063F7" w:rsidTr="002F42FD">
        <w:trPr>
          <w:trHeight w:val="69"/>
          <w:jc w:val="center"/>
        </w:trPr>
        <w:tc>
          <w:tcPr>
            <w:tcW w:w="1350" w:type="dxa"/>
            <w:tcBorders>
              <w:top w:val="nil"/>
              <w:left w:val="nil"/>
              <w:bottom w:val="nil"/>
              <w:right w:val="nil"/>
            </w:tcBorders>
          </w:tcPr>
          <w:p w:rsidR="00E24AB0" w:rsidRPr="00B97FD0" w:rsidRDefault="00E24AB0" w:rsidP="002F42FD">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rsidR="00E24AB0" w:rsidRPr="00D063F7" w:rsidRDefault="00E24AB0" w:rsidP="002F42FD">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rsidR="00E24AB0" w:rsidRPr="00D063F7" w:rsidRDefault="00E24AB0" w:rsidP="002F42FD">
            <w:pPr>
              <w:rPr>
                <w:rFonts w:eastAsia="Times New Roman" w:cs="Times New Roman"/>
                <w:sz w:val="20"/>
                <w:szCs w:val="20"/>
              </w:rPr>
            </w:pPr>
          </w:p>
        </w:tc>
        <w:tc>
          <w:tcPr>
            <w:tcW w:w="4230" w:type="dxa"/>
            <w:gridSpan w:val="5"/>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24AB0" w:rsidRPr="00D063F7" w:rsidRDefault="00E24AB0" w:rsidP="002F42FD">
            <w:pPr>
              <w:spacing w:before="40" w:after="40"/>
              <w:jc w:val="center"/>
              <w:rPr>
                <w:rFonts w:eastAsia="Times New Roman" w:cs="Times New Roman"/>
                <w:b/>
                <w:bCs/>
                <w:color w:val="000000"/>
                <w:sz w:val="20"/>
                <w:szCs w:val="20"/>
              </w:rPr>
            </w:pPr>
            <w:r w:rsidRPr="00D063F7">
              <w:rPr>
                <w:rFonts w:eastAsia="Times New Roman" w:cs="Times New Roman"/>
                <w:b/>
                <w:bCs/>
                <w:color w:val="000000"/>
                <w:sz w:val="20"/>
                <w:szCs w:val="20"/>
              </w:rPr>
              <w:t>Surveys Returned/Collected</w:t>
            </w:r>
          </w:p>
        </w:tc>
      </w:tr>
      <w:tr w:rsidR="00E24AB0" w:rsidRPr="00D063F7" w:rsidTr="002F42FD">
        <w:trPr>
          <w:trHeight w:val="79"/>
          <w:jc w:val="center"/>
        </w:trPr>
        <w:tc>
          <w:tcPr>
            <w:tcW w:w="1350" w:type="dxa"/>
            <w:tcBorders>
              <w:top w:val="single" w:sz="4" w:space="0" w:color="auto"/>
              <w:left w:val="single" w:sz="4" w:space="0" w:color="auto"/>
              <w:bottom w:val="single" w:sz="4" w:space="0" w:color="auto"/>
              <w:right w:val="single" w:sz="4" w:space="0" w:color="auto"/>
            </w:tcBorders>
            <w:shd w:val="clear" w:color="000000" w:fill="D9D9D9"/>
            <w:vAlign w:val="bottom"/>
          </w:tcPr>
          <w:p w:rsidR="00E24AB0" w:rsidRPr="00B97FD0" w:rsidRDefault="00E24AB0" w:rsidP="002F42FD">
            <w:pPr>
              <w:jc w:val="center"/>
              <w:rPr>
                <w:rFonts w:eastAsia="Times New Roman" w:cs="Times New Roman"/>
                <w:b/>
                <w:bCs/>
                <w:color w:val="000000"/>
                <w:sz w:val="20"/>
                <w:szCs w:val="20"/>
              </w:rPr>
            </w:pPr>
            <w:r w:rsidRPr="00B97FD0">
              <w:rPr>
                <w:rFonts w:eastAsia="Times New Roman" w:cs="Times New Roman"/>
                <w:b/>
                <w:bCs/>
                <w:color w:val="000000"/>
                <w:sz w:val="20"/>
                <w:szCs w:val="20"/>
              </w:rPr>
              <w:t>County</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24AB0" w:rsidRPr="00D063F7" w:rsidRDefault="00E24AB0" w:rsidP="002F42FD">
            <w:pPr>
              <w:jc w:val="center"/>
              <w:rPr>
                <w:rFonts w:eastAsia="Times New Roman" w:cs="Times New Roman"/>
                <w:b/>
                <w:bCs/>
                <w:color w:val="000000"/>
                <w:sz w:val="20"/>
                <w:szCs w:val="20"/>
              </w:rPr>
            </w:pPr>
            <w:r w:rsidRPr="00B97FD0">
              <w:rPr>
                <w:rFonts w:eastAsia="Times New Roman" w:cs="Times New Roman"/>
                <w:b/>
                <w:bCs/>
                <w:color w:val="000000"/>
                <w:sz w:val="20"/>
                <w:szCs w:val="20"/>
              </w:rPr>
              <w:t>Eligible Consumers</w:t>
            </w:r>
          </w:p>
        </w:tc>
        <w:tc>
          <w:tcPr>
            <w:tcW w:w="1170" w:type="dxa"/>
            <w:tcBorders>
              <w:top w:val="single" w:sz="4" w:space="0" w:color="auto"/>
              <w:left w:val="nil"/>
              <w:bottom w:val="single" w:sz="4" w:space="0" w:color="auto"/>
              <w:right w:val="nil"/>
            </w:tcBorders>
            <w:shd w:val="clear" w:color="000000" w:fill="D9D9D9"/>
            <w:vAlign w:val="bottom"/>
            <w:hideMark/>
          </w:tcPr>
          <w:p w:rsidR="00E24AB0" w:rsidRPr="00D063F7" w:rsidRDefault="00E24AB0" w:rsidP="002F42FD">
            <w:pPr>
              <w:jc w:val="center"/>
              <w:rPr>
                <w:rFonts w:eastAsia="Times New Roman" w:cs="Times New Roman"/>
                <w:b/>
                <w:bCs/>
                <w:color w:val="000000"/>
                <w:sz w:val="20"/>
                <w:szCs w:val="20"/>
              </w:rPr>
            </w:pPr>
            <w:r w:rsidRPr="00D063F7">
              <w:rPr>
                <w:rFonts w:eastAsia="Times New Roman" w:cs="Times New Roman"/>
                <w:b/>
                <w:bCs/>
                <w:color w:val="000000"/>
                <w:sz w:val="20"/>
                <w:szCs w:val="20"/>
              </w:rPr>
              <w:t>Surveys Distributed</w:t>
            </w:r>
          </w:p>
        </w:tc>
        <w:tc>
          <w:tcPr>
            <w:tcW w:w="1080" w:type="dxa"/>
            <w:tcBorders>
              <w:top w:val="nil"/>
              <w:left w:val="single" w:sz="8" w:space="0" w:color="auto"/>
              <w:bottom w:val="single" w:sz="4" w:space="0" w:color="auto"/>
              <w:right w:val="single" w:sz="4" w:space="0" w:color="auto"/>
            </w:tcBorders>
            <w:shd w:val="clear" w:color="000000" w:fill="D9D9D9"/>
            <w:vAlign w:val="bottom"/>
            <w:hideMark/>
          </w:tcPr>
          <w:p w:rsidR="00E24AB0" w:rsidRPr="00D063F7" w:rsidRDefault="00E24AB0" w:rsidP="002F42FD">
            <w:pPr>
              <w:jc w:val="center"/>
              <w:rPr>
                <w:rFonts w:eastAsia="Times New Roman" w:cs="Times New Roman"/>
                <w:b/>
                <w:bCs/>
                <w:color w:val="000000"/>
                <w:sz w:val="20"/>
                <w:szCs w:val="20"/>
              </w:rPr>
            </w:pPr>
            <w:r w:rsidRPr="00D063F7">
              <w:rPr>
                <w:rFonts w:eastAsia="Times New Roman" w:cs="Times New Roman"/>
                <w:b/>
                <w:bCs/>
                <w:color w:val="000000"/>
                <w:sz w:val="20"/>
                <w:szCs w:val="20"/>
              </w:rPr>
              <w:t>Total</w:t>
            </w:r>
          </w:p>
        </w:tc>
        <w:tc>
          <w:tcPr>
            <w:tcW w:w="810" w:type="dxa"/>
            <w:tcBorders>
              <w:top w:val="nil"/>
              <w:left w:val="nil"/>
              <w:bottom w:val="single" w:sz="4" w:space="0" w:color="auto"/>
              <w:right w:val="single" w:sz="4" w:space="0" w:color="auto"/>
            </w:tcBorders>
            <w:shd w:val="clear" w:color="000000" w:fill="D9D9D9"/>
            <w:vAlign w:val="bottom"/>
            <w:hideMark/>
          </w:tcPr>
          <w:p w:rsidR="00E24AB0" w:rsidRPr="00D063F7" w:rsidRDefault="00E24AB0" w:rsidP="002F42FD">
            <w:pPr>
              <w:jc w:val="center"/>
              <w:rPr>
                <w:rFonts w:eastAsia="Times New Roman" w:cs="Times New Roman"/>
                <w:b/>
                <w:bCs/>
                <w:color w:val="000000"/>
                <w:sz w:val="20"/>
                <w:szCs w:val="20"/>
              </w:rPr>
            </w:pPr>
            <w:r w:rsidRPr="00D063F7">
              <w:rPr>
                <w:rFonts w:eastAsia="Times New Roman" w:cs="Times New Roman"/>
                <w:b/>
                <w:bCs/>
                <w:color w:val="000000"/>
                <w:sz w:val="20"/>
                <w:szCs w:val="20"/>
              </w:rPr>
              <w:t>Return Rate</w:t>
            </w:r>
          </w:p>
        </w:tc>
        <w:tc>
          <w:tcPr>
            <w:tcW w:w="630" w:type="dxa"/>
            <w:tcBorders>
              <w:top w:val="nil"/>
              <w:left w:val="nil"/>
              <w:bottom w:val="single" w:sz="4" w:space="0" w:color="auto"/>
              <w:right w:val="single" w:sz="4" w:space="0" w:color="auto"/>
            </w:tcBorders>
            <w:shd w:val="clear" w:color="000000" w:fill="D9D9D9"/>
            <w:vAlign w:val="bottom"/>
            <w:hideMark/>
          </w:tcPr>
          <w:p w:rsidR="00E24AB0" w:rsidRPr="00D063F7" w:rsidRDefault="00E24AB0" w:rsidP="002F42FD">
            <w:pPr>
              <w:jc w:val="center"/>
              <w:rPr>
                <w:rFonts w:eastAsia="Times New Roman" w:cs="Times New Roman"/>
                <w:b/>
                <w:bCs/>
                <w:color w:val="000000"/>
                <w:sz w:val="20"/>
                <w:szCs w:val="20"/>
              </w:rPr>
            </w:pPr>
            <w:r w:rsidRPr="00D063F7">
              <w:rPr>
                <w:rFonts w:eastAsia="Times New Roman" w:cs="Times New Roman"/>
                <w:b/>
                <w:bCs/>
                <w:color w:val="000000"/>
                <w:sz w:val="20"/>
                <w:szCs w:val="20"/>
              </w:rPr>
              <w:t>ROSI</w:t>
            </w:r>
          </w:p>
        </w:tc>
        <w:tc>
          <w:tcPr>
            <w:tcW w:w="900" w:type="dxa"/>
            <w:tcBorders>
              <w:top w:val="nil"/>
              <w:left w:val="nil"/>
              <w:bottom w:val="single" w:sz="4" w:space="0" w:color="auto"/>
              <w:right w:val="single" w:sz="4" w:space="0" w:color="auto"/>
            </w:tcBorders>
            <w:shd w:val="clear" w:color="000000" w:fill="D9D9D9"/>
            <w:vAlign w:val="bottom"/>
            <w:hideMark/>
          </w:tcPr>
          <w:p w:rsidR="00E24AB0" w:rsidRPr="00D063F7" w:rsidRDefault="00E24AB0" w:rsidP="002F42FD">
            <w:pPr>
              <w:jc w:val="center"/>
              <w:rPr>
                <w:rFonts w:eastAsia="Times New Roman" w:cs="Times New Roman"/>
                <w:b/>
                <w:bCs/>
                <w:color w:val="000000"/>
                <w:sz w:val="20"/>
                <w:szCs w:val="20"/>
              </w:rPr>
            </w:pPr>
            <w:r w:rsidRPr="00D063F7">
              <w:rPr>
                <w:rFonts w:eastAsia="Times New Roman" w:cs="Times New Roman"/>
                <w:b/>
                <w:bCs/>
                <w:color w:val="000000"/>
                <w:sz w:val="20"/>
                <w:szCs w:val="20"/>
              </w:rPr>
              <w:t>MHSIP Youth</w:t>
            </w:r>
          </w:p>
        </w:tc>
        <w:tc>
          <w:tcPr>
            <w:tcW w:w="810" w:type="dxa"/>
            <w:tcBorders>
              <w:top w:val="nil"/>
              <w:left w:val="nil"/>
              <w:bottom w:val="single" w:sz="4" w:space="0" w:color="auto"/>
              <w:right w:val="single" w:sz="8" w:space="0" w:color="auto"/>
            </w:tcBorders>
            <w:shd w:val="clear" w:color="000000" w:fill="D9D9D9"/>
            <w:vAlign w:val="bottom"/>
            <w:hideMark/>
          </w:tcPr>
          <w:p w:rsidR="00E24AB0" w:rsidRPr="00D063F7" w:rsidRDefault="00E24AB0" w:rsidP="002F42FD">
            <w:pPr>
              <w:jc w:val="center"/>
              <w:rPr>
                <w:rFonts w:eastAsia="Times New Roman" w:cs="Times New Roman"/>
                <w:b/>
                <w:bCs/>
                <w:color w:val="000000"/>
                <w:sz w:val="20"/>
                <w:szCs w:val="20"/>
              </w:rPr>
            </w:pPr>
            <w:r w:rsidRPr="00D063F7">
              <w:rPr>
                <w:rFonts w:eastAsia="Times New Roman" w:cs="Times New Roman"/>
                <w:b/>
                <w:bCs/>
                <w:color w:val="000000"/>
                <w:sz w:val="20"/>
                <w:szCs w:val="20"/>
              </w:rPr>
              <w:t>MHSIP Family</w:t>
            </w:r>
          </w:p>
        </w:tc>
      </w:tr>
      <w:tr w:rsidR="00E24AB0" w:rsidRPr="00D063F7" w:rsidTr="002F42FD">
        <w:trPr>
          <w:trHeight w:val="79"/>
          <w:jc w:val="center"/>
        </w:trPr>
        <w:tc>
          <w:tcPr>
            <w:tcW w:w="1350" w:type="dxa"/>
            <w:tcBorders>
              <w:top w:val="nil"/>
              <w:left w:val="single" w:sz="4" w:space="0" w:color="auto"/>
              <w:bottom w:val="single" w:sz="4" w:space="0" w:color="auto"/>
              <w:right w:val="single" w:sz="4" w:space="0" w:color="auto"/>
            </w:tcBorders>
          </w:tcPr>
          <w:p w:rsidR="00E24AB0" w:rsidRPr="00B97FD0" w:rsidRDefault="00E24AB0" w:rsidP="002F42FD">
            <w:pPr>
              <w:spacing w:before="40" w:after="40"/>
              <w:jc w:val="right"/>
              <w:rPr>
                <w:rFonts w:eastAsia="Times New Roman" w:cs="Times New Roman"/>
                <w:color w:val="000000"/>
                <w:sz w:val="20"/>
                <w:szCs w:val="20"/>
              </w:rPr>
            </w:pPr>
            <w:r w:rsidRPr="00B97FD0">
              <w:rPr>
                <w:rFonts w:eastAsia="Times New Roman" w:cs="Times New Roman"/>
                <w:color w:val="000000"/>
                <w:sz w:val="20"/>
                <w:szCs w:val="20"/>
              </w:rPr>
              <w:t xml:space="preserve">Adams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Pr>
                <w:rFonts w:eastAsia="Times New Roman" w:cs="Times New Roman"/>
                <w:color w:val="000000"/>
                <w:sz w:val="20"/>
                <w:szCs w:val="20"/>
              </w:rPr>
              <w:t>25</w:t>
            </w:r>
          </w:p>
        </w:tc>
        <w:tc>
          <w:tcPr>
            <w:tcW w:w="1170" w:type="dxa"/>
            <w:tcBorders>
              <w:top w:val="nil"/>
              <w:left w:val="nil"/>
              <w:bottom w:val="single" w:sz="4" w:space="0" w:color="auto"/>
              <w:right w:val="nil"/>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25</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28%</w:t>
            </w:r>
          </w:p>
        </w:tc>
        <w:tc>
          <w:tcPr>
            <w:tcW w:w="630" w:type="dxa"/>
            <w:tcBorders>
              <w:top w:val="nil"/>
              <w:left w:val="nil"/>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4</w:t>
            </w:r>
          </w:p>
        </w:tc>
        <w:tc>
          <w:tcPr>
            <w:tcW w:w="900" w:type="dxa"/>
            <w:tcBorders>
              <w:top w:val="nil"/>
              <w:left w:val="nil"/>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0</w:t>
            </w:r>
          </w:p>
        </w:tc>
        <w:tc>
          <w:tcPr>
            <w:tcW w:w="810" w:type="dxa"/>
            <w:tcBorders>
              <w:top w:val="nil"/>
              <w:left w:val="nil"/>
              <w:bottom w:val="single" w:sz="4" w:space="0" w:color="auto"/>
              <w:right w:val="single" w:sz="8"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3</w:t>
            </w:r>
          </w:p>
        </w:tc>
      </w:tr>
      <w:tr w:rsidR="00E24AB0" w:rsidRPr="00D063F7" w:rsidTr="002F42FD">
        <w:trPr>
          <w:trHeight w:val="79"/>
          <w:jc w:val="center"/>
        </w:trPr>
        <w:tc>
          <w:tcPr>
            <w:tcW w:w="1350" w:type="dxa"/>
            <w:tcBorders>
              <w:top w:val="nil"/>
              <w:left w:val="single" w:sz="4" w:space="0" w:color="auto"/>
              <w:bottom w:val="single" w:sz="4" w:space="0" w:color="auto"/>
              <w:right w:val="single" w:sz="4" w:space="0" w:color="auto"/>
            </w:tcBorders>
          </w:tcPr>
          <w:p w:rsidR="00E24AB0" w:rsidRPr="00B97FD0" w:rsidRDefault="00E24AB0" w:rsidP="002F42FD">
            <w:pPr>
              <w:spacing w:before="40" w:after="40"/>
              <w:jc w:val="right"/>
              <w:rPr>
                <w:rFonts w:eastAsia="Times New Roman" w:cs="Times New Roman"/>
                <w:color w:val="000000"/>
                <w:sz w:val="20"/>
                <w:szCs w:val="20"/>
              </w:rPr>
            </w:pPr>
            <w:r w:rsidRPr="00B97FD0">
              <w:rPr>
                <w:rFonts w:eastAsia="Times New Roman" w:cs="Times New Roman"/>
                <w:color w:val="000000"/>
                <w:sz w:val="20"/>
                <w:szCs w:val="20"/>
              </w:rPr>
              <w:t>Green Lake</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16</w:t>
            </w:r>
          </w:p>
        </w:tc>
        <w:tc>
          <w:tcPr>
            <w:tcW w:w="1170" w:type="dxa"/>
            <w:tcBorders>
              <w:top w:val="nil"/>
              <w:left w:val="nil"/>
              <w:bottom w:val="single" w:sz="4" w:space="0" w:color="auto"/>
              <w:right w:val="nil"/>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16</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Pr>
                <w:rFonts w:eastAsia="Times New Roman" w:cs="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Pr>
                <w:rFonts w:eastAsia="Times New Roman" w:cs="Times New Roman"/>
                <w:color w:val="000000"/>
                <w:sz w:val="20"/>
                <w:szCs w:val="20"/>
              </w:rPr>
              <w:t>44</w:t>
            </w:r>
            <w:r w:rsidRPr="00D063F7">
              <w:rPr>
                <w:rFonts w:eastAsia="Times New Roman" w:cs="Times New Roman"/>
                <w:color w:val="000000"/>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3</w:t>
            </w:r>
          </w:p>
        </w:tc>
        <w:tc>
          <w:tcPr>
            <w:tcW w:w="900" w:type="dxa"/>
            <w:tcBorders>
              <w:top w:val="nil"/>
              <w:left w:val="nil"/>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Pr>
                <w:rFonts w:eastAsia="Times New Roman" w:cs="Times New Roman"/>
                <w:color w:val="000000"/>
                <w:sz w:val="20"/>
                <w:szCs w:val="20"/>
              </w:rPr>
              <w:t>4</w:t>
            </w:r>
          </w:p>
        </w:tc>
        <w:tc>
          <w:tcPr>
            <w:tcW w:w="810" w:type="dxa"/>
            <w:tcBorders>
              <w:top w:val="nil"/>
              <w:left w:val="nil"/>
              <w:bottom w:val="single" w:sz="4" w:space="0" w:color="auto"/>
              <w:right w:val="single" w:sz="8"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0</w:t>
            </w:r>
          </w:p>
        </w:tc>
      </w:tr>
      <w:tr w:rsidR="00E24AB0" w:rsidRPr="00D063F7" w:rsidTr="002F42FD">
        <w:trPr>
          <w:trHeight w:val="79"/>
          <w:jc w:val="center"/>
        </w:trPr>
        <w:tc>
          <w:tcPr>
            <w:tcW w:w="1350" w:type="dxa"/>
            <w:tcBorders>
              <w:top w:val="nil"/>
              <w:left w:val="single" w:sz="4" w:space="0" w:color="auto"/>
              <w:bottom w:val="single" w:sz="4" w:space="0" w:color="auto"/>
              <w:right w:val="single" w:sz="4" w:space="0" w:color="auto"/>
            </w:tcBorders>
          </w:tcPr>
          <w:p w:rsidR="00E24AB0" w:rsidRPr="00B97FD0" w:rsidRDefault="00E24AB0" w:rsidP="002F42FD">
            <w:pPr>
              <w:spacing w:before="40" w:after="40"/>
              <w:jc w:val="right"/>
              <w:rPr>
                <w:rFonts w:eastAsia="Times New Roman" w:cs="Times New Roman"/>
                <w:color w:val="000000"/>
                <w:sz w:val="20"/>
                <w:szCs w:val="20"/>
              </w:rPr>
            </w:pPr>
            <w:r w:rsidRPr="00B97FD0">
              <w:rPr>
                <w:rFonts w:eastAsia="Times New Roman" w:cs="Times New Roman"/>
                <w:color w:val="000000"/>
                <w:sz w:val="20"/>
                <w:szCs w:val="20"/>
              </w:rPr>
              <w:t>Juneau</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6</w:t>
            </w:r>
          </w:p>
        </w:tc>
        <w:tc>
          <w:tcPr>
            <w:tcW w:w="1170" w:type="dxa"/>
            <w:tcBorders>
              <w:top w:val="nil"/>
              <w:left w:val="nil"/>
              <w:bottom w:val="single" w:sz="4" w:space="0" w:color="auto"/>
              <w:right w:val="nil"/>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6</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100%</w:t>
            </w:r>
          </w:p>
        </w:tc>
        <w:tc>
          <w:tcPr>
            <w:tcW w:w="630" w:type="dxa"/>
            <w:tcBorders>
              <w:top w:val="nil"/>
              <w:left w:val="nil"/>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4</w:t>
            </w:r>
          </w:p>
        </w:tc>
        <w:tc>
          <w:tcPr>
            <w:tcW w:w="900" w:type="dxa"/>
            <w:tcBorders>
              <w:top w:val="nil"/>
              <w:left w:val="nil"/>
              <w:bottom w:val="single" w:sz="4"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2</w:t>
            </w:r>
          </w:p>
        </w:tc>
        <w:tc>
          <w:tcPr>
            <w:tcW w:w="810" w:type="dxa"/>
            <w:tcBorders>
              <w:top w:val="nil"/>
              <w:left w:val="nil"/>
              <w:bottom w:val="single" w:sz="4" w:space="0" w:color="auto"/>
              <w:right w:val="single" w:sz="8"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0</w:t>
            </w:r>
          </w:p>
        </w:tc>
      </w:tr>
      <w:tr w:rsidR="00E24AB0" w:rsidRPr="00D063F7" w:rsidTr="002F42FD">
        <w:trPr>
          <w:trHeight w:val="79"/>
          <w:jc w:val="center"/>
        </w:trPr>
        <w:tc>
          <w:tcPr>
            <w:tcW w:w="1350" w:type="dxa"/>
            <w:tcBorders>
              <w:top w:val="single" w:sz="4" w:space="0" w:color="auto"/>
              <w:left w:val="single" w:sz="4" w:space="0" w:color="auto"/>
              <w:bottom w:val="single" w:sz="18" w:space="0" w:color="auto"/>
              <w:right w:val="single" w:sz="4" w:space="0" w:color="auto"/>
            </w:tcBorders>
          </w:tcPr>
          <w:p w:rsidR="00E24AB0" w:rsidRPr="00B97FD0" w:rsidRDefault="00E24AB0" w:rsidP="002F42FD">
            <w:pPr>
              <w:spacing w:before="40" w:after="40"/>
              <w:jc w:val="right"/>
              <w:rPr>
                <w:rFonts w:eastAsia="Times New Roman" w:cs="Times New Roman"/>
                <w:color w:val="000000"/>
                <w:sz w:val="20"/>
                <w:szCs w:val="20"/>
              </w:rPr>
            </w:pPr>
            <w:r w:rsidRPr="00B97FD0">
              <w:rPr>
                <w:rFonts w:eastAsia="Times New Roman" w:cs="Times New Roman"/>
                <w:color w:val="000000"/>
                <w:sz w:val="20"/>
                <w:szCs w:val="20"/>
              </w:rPr>
              <w:t>Waushara</w:t>
            </w:r>
          </w:p>
        </w:tc>
        <w:tc>
          <w:tcPr>
            <w:tcW w:w="1170"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20</w:t>
            </w:r>
          </w:p>
        </w:tc>
        <w:tc>
          <w:tcPr>
            <w:tcW w:w="1170" w:type="dxa"/>
            <w:tcBorders>
              <w:top w:val="single" w:sz="4" w:space="0" w:color="auto"/>
              <w:left w:val="nil"/>
              <w:bottom w:val="single" w:sz="18" w:space="0" w:color="auto"/>
              <w:right w:val="nil"/>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 </w:t>
            </w:r>
            <w:r>
              <w:rPr>
                <w:rFonts w:eastAsia="Times New Roman" w:cs="Times New Roman"/>
                <w:color w:val="000000"/>
                <w:sz w:val="20"/>
                <w:szCs w:val="20"/>
              </w:rPr>
              <w:t>13</w:t>
            </w:r>
          </w:p>
        </w:tc>
        <w:tc>
          <w:tcPr>
            <w:tcW w:w="1080" w:type="dxa"/>
            <w:tcBorders>
              <w:top w:val="single" w:sz="4" w:space="0" w:color="auto"/>
              <w:left w:val="single" w:sz="8" w:space="0" w:color="auto"/>
              <w:bottom w:val="single" w:sz="18"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Pr>
                <w:rFonts w:eastAsia="Times New Roman" w:cs="Times New Roman"/>
                <w:color w:val="000000"/>
                <w:sz w:val="20"/>
                <w:szCs w:val="20"/>
              </w:rPr>
              <w:t>13</w:t>
            </w:r>
          </w:p>
        </w:tc>
        <w:tc>
          <w:tcPr>
            <w:tcW w:w="810" w:type="dxa"/>
            <w:tcBorders>
              <w:top w:val="single" w:sz="4" w:space="0" w:color="auto"/>
              <w:left w:val="nil"/>
              <w:bottom w:val="single" w:sz="18" w:space="0" w:color="auto"/>
              <w:right w:val="single" w:sz="4" w:space="0" w:color="auto"/>
            </w:tcBorders>
            <w:shd w:val="clear" w:color="auto" w:fill="auto"/>
            <w:noWrap/>
            <w:vAlign w:val="center"/>
          </w:tcPr>
          <w:p w:rsidR="00E24AB0" w:rsidRPr="00D063F7" w:rsidRDefault="00E24AB0" w:rsidP="002F42FD">
            <w:pPr>
              <w:spacing w:before="40" w:after="40"/>
              <w:jc w:val="center"/>
              <w:rPr>
                <w:rFonts w:eastAsia="Times New Roman" w:cs="Times New Roman"/>
                <w:color w:val="000000"/>
                <w:sz w:val="20"/>
                <w:szCs w:val="20"/>
              </w:rPr>
            </w:pPr>
            <w:r>
              <w:rPr>
                <w:rFonts w:eastAsia="Times New Roman" w:cs="Times New Roman"/>
                <w:color w:val="000000"/>
                <w:sz w:val="20"/>
                <w:szCs w:val="20"/>
              </w:rPr>
              <w:t>100%</w:t>
            </w:r>
          </w:p>
        </w:tc>
        <w:tc>
          <w:tcPr>
            <w:tcW w:w="630" w:type="dxa"/>
            <w:tcBorders>
              <w:top w:val="single" w:sz="4" w:space="0" w:color="auto"/>
              <w:left w:val="nil"/>
              <w:bottom w:val="single" w:sz="18"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Pr>
                <w:rFonts w:eastAsia="Times New Roman" w:cs="Times New Roman"/>
                <w:color w:val="000000"/>
                <w:sz w:val="20"/>
                <w:szCs w:val="20"/>
              </w:rPr>
              <w:t>7</w:t>
            </w:r>
          </w:p>
        </w:tc>
        <w:tc>
          <w:tcPr>
            <w:tcW w:w="900" w:type="dxa"/>
            <w:tcBorders>
              <w:top w:val="single" w:sz="4" w:space="0" w:color="auto"/>
              <w:left w:val="nil"/>
              <w:bottom w:val="single" w:sz="18"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sidRPr="00D063F7">
              <w:rPr>
                <w:rFonts w:eastAsia="Times New Roman" w:cs="Times New Roman"/>
                <w:color w:val="000000"/>
                <w:sz w:val="20"/>
                <w:szCs w:val="20"/>
              </w:rPr>
              <w:t>3</w:t>
            </w:r>
          </w:p>
        </w:tc>
        <w:tc>
          <w:tcPr>
            <w:tcW w:w="810" w:type="dxa"/>
            <w:tcBorders>
              <w:top w:val="single" w:sz="4" w:space="0" w:color="auto"/>
              <w:left w:val="nil"/>
              <w:bottom w:val="single" w:sz="18" w:space="0" w:color="auto"/>
              <w:right w:val="single" w:sz="8"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color w:val="000000"/>
                <w:sz w:val="20"/>
                <w:szCs w:val="20"/>
              </w:rPr>
            </w:pPr>
            <w:r>
              <w:rPr>
                <w:rFonts w:eastAsia="Times New Roman" w:cs="Times New Roman"/>
                <w:color w:val="000000"/>
                <w:sz w:val="20"/>
                <w:szCs w:val="20"/>
              </w:rPr>
              <w:t>3</w:t>
            </w:r>
          </w:p>
        </w:tc>
      </w:tr>
      <w:tr w:rsidR="00E24AB0" w:rsidRPr="00D063F7" w:rsidTr="002F42FD">
        <w:trPr>
          <w:trHeight w:val="69"/>
          <w:jc w:val="center"/>
        </w:trPr>
        <w:tc>
          <w:tcPr>
            <w:tcW w:w="1350" w:type="dxa"/>
            <w:tcBorders>
              <w:top w:val="single" w:sz="18" w:space="0" w:color="auto"/>
              <w:left w:val="single" w:sz="4" w:space="0" w:color="auto"/>
              <w:bottom w:val="single" w:sz="4" w:space="0" w:color="auto"/>
              <w:right w:val="single" w:sz="4" w:space="0" w:color="auto"/>
            </w:tcBorders>
          </w:tcPr>
          <w:p w:rsidR="00E24AB0" w:rsidRPr="00B97FD0" w:rsidRDefault="00E24AB0" w:rsidP="002F42FD">
            <w:pPr>
              <w:spacing w:before="40" w:after="40"/>
              <w:jc w:val="right"/>
              <w:rPr>
                <w:rFonts w:eastAsia="Times New Roman" w:cs="Times New Roman"/>
                <w:b/>
                <w:bCs/>
                <w:color w:val="000000"/>
                <w:sz w:val="20"/>
                <w:szCs w:val="20"/>
              </w:rPr>
            </w:pPr>
            <w:r w:rsidRPr="00B97FD0">
              <w:rPr>
                <w:rFonts w:eastAsia="Times New Roman" w:cs="Times New Roman"/>
                <w:b/>
                <w:bCs/>
                <w:color w:val="000000"/>
                <w:sz w:val="20"/>
                <w:szCs w:val="20"/>
              </w:rPr>
              <w:t>Totals</w:t>
            </w:r>
          </w:p>
        </w:tc>
        <w:tc>
          <w:tcPr>
            <w:tcW w:w="117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E24AB0" w:rsidRPr="00D063F7" w:rsidRDefault="00E24AB0" w:rsidP="002F42FD">
            <w:pPr>
              <w:spacing w:before="40" w:after="40"/>
              <w:jc w:val="center"/>
              <w:rPr>
                <w:rFonts w:eastAsia="Times New Roman" w:cs="Times New Roman"/>
                <w:b/>
                <w:bCs/>
                <w:color w:val="000000"/>
                <w:sz w:val="20"/>
                <w:szCs w:val="20"/>
              </w:rPr>
            </w:pPr>
            <w:r>
              <w:rPr>
                <w:rFonts w:eastAsia="Times New Roman" w:cs="Times New Roman"/>
                <w:b/>
                <w:bCs/>
                <w:color w:val="000000"/>
                <w:sz w:val="20"/>
                <w:szCs w:val="20"/>
              </w:rPr>
              <w:t>67</w:t>
            </w:r>
          </w:p>
        </w:tc>
        <w:tc>
          <w:tcPr>
            <w:tcW w:w="1170" w:type="dxa"/>
            <w:tcBorders>
              <w:top w:val="single" w:sz="18" w:space="0" w:color="auto"/>
              <w:left w:val="nil"/>
              <w:bottom w:val="single" w:sz="4" w:space="0" w:color="auto"/>
              <w:right w:val="nil"/>
            </w:tcBorders>
            <w:shd w:val="clear" w:color="auto" w:fill="auto"/>
            <w:noWrap/>
            <w:vAlign w:val="bottom"/>
            <w:hideMark/>
          </w:tcPr>
          <w:p w:rsidR="00E24AB0" w:rsidRPr="00D063F7" w:rsidRDefault="00E24AB0" w:rsidP="002F42FD">
            <w:pPr>
              <w:spacing w:before="40" w:after="40"/>
              <w:jc w:val="center"/>
              <w:rPr>
                <w:rFonts w:eastAsia="Times New Roman" w:cs="Times New Roman"/>
                <w:b/>
                <w:bCs/>
                <w:color w:val="000000"/>
                <w:sz w:val="20"/>
                <w:szCs w:val="20"/>
              </w:rPr>
            </w:pPr>
            <w:r>
              <w:rPr>
                <w:rFonts w:eastAsia="Times New Roman" w:cs="Times New Roman"/>
                <w:b/>
                <w:bCs/>
                <w:color w:val="000000"/>
                <w:sz w:val="20"/>
                <w:szCs w:val="20"/>
              </w:rPr>
              <w:t>60</w:t>
            </w:r>
          </w:p>
        </w:tc>
        <w:tc>
          <w:tcPr>
            <w:tcW w:w="1080" w:type="dxa"/>
            <w:tcBorders>
              <w:top w:val="single" w:sz="18" w:space="0" w:color="auto"/>
              <w:left w:val="single" w:sz="8" w:space="0" w:color="auto"/>
              <w:bottom w:val="single" w:sz="8" w:space="0" w:color="auto"/>
              <w:right w:val="single" w:sz="4" w:space="0" w:color="auto"/>
            </w:tcBorders>
            <w:shd w:val="clear" w:color="auto" w:fill="auto"/>
            <w:noWrap/>
            <w:vAlign w:val="bottom"/>
            <w:hideMark/>
          </w:tcPr>
          <w:p w:rsidR="00E24AB0" w:rsidRPr="00D063F7" w:rsidRDefault="00E24AB0" w:rsidP="002F42FD">
            <w:pPr>
              <w:spacing w:before="40" w:after="40"/>
              <w:jc w:val="center"/>
              <w:rPr>
                <w:rFonts w:eastAsia="Times New Roman" w:cs="Times New Roman"/>
                <w:b/>
                <w:bCs/>
                <w:color w:val="000000"/>
                <w:sz w:val="20"/>
                <w:szCs w:val="20"/>
              </w:rPr>
            </w:pPr>
            <w:r>
              <w:rPr>
                <w:rFonts w:eastAsia="Times New Roman" w:cs="Times New Roman"/>
                <w:b/>
                <w:bCs/>
                <w:color w:val="000000"/>
                <w:sz w:val="20"/>
                <w:szCs w:val="20"/>
              </w:rPr>
              <w:t>33</w:t>
            </w:r>
          </w:p>
        </w:tc>
        <w:tc>
          <w:tcPr>
            <w:tcW w:w="810" w:type="dxa"/>
            <w:tcBorders>
              <w:top w:val="single" w:sz="18" w:space="0" w:color="auto"/>
              <w:left w:val="nil"/>
              <w:bottom w:val="single" w:sz="8" w:space="0" w:color="auto"/>
              <w:right w:val="single" w:sz="4" w:space="0" w:color="auto"/>
            </w:tcBorders>
            <w:shd w:val="clear" w:color="auto" w:fill="auto"/>
            <w:noWrap/>
            <w:vAlign w:val="center"/>
            <w:hideMark/>
          </w:tcPr>
          <w:p w:rsidR="00E24AB0" w:rsidRPr="00D063F7" w:rsidRDefault="00E24AB0" w:rsidP="002F42FD">
            <w:pPr>
              <w:spacing w:before="40" w:after="40"/>
              <w:jc w:val="center"/>
              <w:rPr>
                <w:rFonts w:eastAsia="Times New Roman" w:cs="Times New Roman"/>
                <w:b/>
                <w:bCs/>
                <w:color w:val="000000"/>
                <w:sz w:val="20"/>
                <w:szCs w:val="20"/>
              </w:rPr>
            </w:pPr>
            <w:r>
              <w:rPr>
                <w:rFonts w:eastAsia="Times New Roman" w:cs="Times New Roman"/>
                <w:b/>
                <w:bCs/>
                <w:color w:val="000000"/>
                <w:sz w:val="20"/>
                <w:szCs w:val="20"/>
              </w:rPr>
              <w:t>55</w:t>
            </w:r>
            <w:r w:rsidRPr="00D063F7">
              <w:rPr>
                <w:rFonts w:eastAsia="Times New Roman" w:cs="Times New Roman"/>
                <w:b/>
                <w:bCs/>
                <w:color w:val="000000"/>
                <w:sz w:val="20"/>
                <w:szCs w:val="20"/>
              </w:rPr>
              <w:t>%</w:t>
            </w:r>
          </w:p>
        </w:tc>
        <w:tc>
          <w:tcPr>
            <w:tcW w:w="630" w:type="dxa"/>
            <w:tcBorders>
              <w:top w:val="single" w:sz="18" w:space="0" w:color="auto"/>
              <w:left w:val="nil"/>
              <w:bottom w:val="single" w:sz="8" w:space="0" w:color="auto"/>
              <w:right w:val="single" w:sz="4" w:space="0" w:color="auto"/>
            </w:tcBorders>
            <w:shd w:val="clear" w:color="auto" w:fill="auto"/>
            <w:noWrap/>
            <w:vAlign w:val="bottom"/>
            <w:hideMark/>
          </w:tcPr>
          <w:p w:rsidR="00E24AB0" w:rsidRPr="00D063F7" w:rsidRDefault="00E24AB0" w:rsidP="002F42FD">
            <w:pPr>
              <w:spacing w:before="40" w:after="40"/>
              <w:jc w:val="center"/>
              <w:rPr>
                <w:rFonts w:eastAsia="Times New Roman" w:cs="Times New Roman"/>
                <w:b/>
                <w:bCs/>
                <w:color w:val="000000"/>
                <w:sz w:val="20"/>
                <w:szCs w:val="20"/>
              </w:rPr>
            </w:pPr>
            <w:r>
              <w:rPr>
                <w:rFonts w:eastAsia="Times New Roman" w:cs="Times New Roman"/>
                <w:b/>
                <w:bCs/>
                <w:color w:val="000000"/>
                <w:sz w:val="20"/>
                <w:szCs w:val="20"/>
              </w:rPr>
              <w:t>18</w:t>
            </w:r>
          </w:p>
        </w:tc>
        <w:tc>
          <w:tcPr>
            <w:tcW w:w="900" w:type="dxa"/>
            <w:tcBorders>
              <w:top w:val="single" w:sz="18" w:space="0" w:color="auto"/>
              <w:left w:val="nil"/>
              <w:bottom w:val="single" w:sz="8" w:space="0" w:color="auto"/>
              <w:right w:val="single" w:sz="4" w:space="0" w:color="auto"/>
            </w:tcBorders>
            <w:shd w:val="clear" w:color="auto" w:fill="auto"/>
            <w:noWrap/>
            <w:vAlign w:val="bottom"/>
            <w:hideMark/>
          </w:tcPr>
          <w:p w:rsidR="00E24AB0" w:rsidRPr="00D063F7" w:rsidRDefault="00E24AB0" w:rsidP="002F42FD">
            <w:pPr>
              <w:spacing w:before="40" w:after="40"/>
              <w:jc w:val="center"/>
              <w:rPr>
                <w:rFonts w:eastAsia="Times New Roman" w:cs="Times New Roman"/>
                <w:b/>
                <w:bCs/>
                <w:color w:val="000000"/>
                <w:sz w:val="20"/>
                <w:szCs w:val="20"/>
              </w:rPr>
            </w:pPr>
            <w:r>
              <w:rPr>
                <w:rFonts w:eastAsia="Times New Roman" w:cs="Times New Roman"/>
                <w:b/>
                <w:bCs/>
                <w:color w:val="000000"/>
                <w:sz w:val="20"/>
                <w:szCs w:val="20"/>
              </w:rPr>
              <w:t>9</w:t>
            </w:r>
          </w:p>
        </w:tc>
        <w:tc>
          <w:tcPr>
            <w:tcW w:w="810" w:type="dxa"/>
            <w:tcBorders>
              <w:top w:val="single" w:sz="18" w:space="0" w:color="auto"/>
              <w:left w:val="nil"/>
              <w:bottom w:val="single" w:sz="8" w:space="0" w:color="auto"/>
              <w:right w:val="single" w:sz="8" w:space="0" w:color="auto"/>
            </w:tcBorders>
            <w:shd w:val="clear" w:color="auto" w:fill="auto"/>
            <w:noWrap/>
            <w:vAlign w:val="bottom"/>
            <w:hideMark/>
          </w:tcPr>
          <w:p w:rsidR="00E24AB0" w:rsidRPr="00D063F7" w:rsidRDefault="00E24AB0" w:rsidP="002F42FD">
            <w:pPr>
              <w:spacing w:before="40" w:after="40"/>
              <w:jc w:val="center"/>
              <w:rPr>
                <w:rFonts w:eastAsia="Times New Roman" w:cs="Times New Roman"/>
                <w:b/>
                <w:bCs/>
                <w:color w:val="000000"/>
                <w:sz w:val="20"/>
                <w:szCs w:val="20"/>
              </w:rPr>
            </w:pPr>
            <w:r>
              <w:rPr>
                <w:rFonts w:eastAsia="Times New Roman" w:cs="Times New Roman"/>
                <w:b/>
                <w:bCs/>
                <w:color w:val="000000"/>
                <w:sz w:val="20"/>
                <w:szCs w:val="20"/>
              </w:rPr>
              <w:t>6</w:t>
            </w:r>
          </w:p>
        </w:tc>
      </w:tr>
    </w:tbl>
    <w:p w:rsidR="00E24AB0" w:rsidRDefault="00E24AB0" w:rsidP="00E24AB0">
      <w:pPr>
        <w:rPr>
          <w:b/>
          <w:bCs/>
          <w:color w:val="000000"/>
          <w:sz w:val="28"/>
          <w:szCs w:val="28"/>
        </w:rPr>
      </w:pPr>
    </w:p>
    <w:p w:rsidR="00E24AB0" w:rsidRDefault="00E24AB0" w:rsidP="00E24AB0">
      <w:pPr>
        <w:rPr>
          <w:b/>
          <w:bCs/>
          <w:color w:val="000000"/>
          <w:sz w:val="28"/>
          <w:szCs w:val="28"/>
        </w:rPr>
      </w:pPr>
    </w:p>
    <w:p w:rsidR="00E24AB0" w:rsidRDefault="00E24AB0" w:rsidP="00E24AB0">
      <w:pPr>
        <w:spacing w:after="160" w:line="259" w:lineRule="auto"/>
        <w:rPr>
          <w:b/>
          <w:bCs/>
          <w:color w:val="000000"/>
          <w:sz w:val="24"/>
          <w:szCs w:val="28"/>
        </w:rPr>
      </w:pPr>
      <w:r>
        <w:rPr>
          <w:b/>
          <w:bCs/>
          <w:color w:val="000000"/>
          <w:sz w:val="24"/>
          <w:szCs w:val="28"/>
        </w:rPr>
        <w:br w:type="page"/>
      </w:r>
    </w:p>
    <w:p w:rsidR="00E24AB0" w:rsidRPr="009138D8" w:rsidRDefault="00E24AB0" w:rsidP="00E24AB0">
      <w:pPr>
        <w:rPr>
          <w:b/>
          <w:bCs/>
          <w:color w:val="000000"/>
          <w:sz w:val="24"/>
          <w:szCs w:val="28"/>
        </w:rPr>
      </w:pPr>
      <w:r w:rsidRPr="009138D8">
        <w:rPr>
          <w:b/>
          <w:bCs/>
          <w:color w:val="000000"/>
          <w:sz w:val="24"/>
          <w:szCs w:val="28"/>
        </w:rPr>
        <w:lastRenderedPageBreak/>
        <w:t>2016 Planning:</w:t>
      </w:r>
    </w:p>
    <w:p w:rsidR="00E24AB0" w:rsidRDefault="00E24AB0" w:rsidP="00E24AB0">
      <w:pPr>
        <w:rPr>
          <w:b/>
          <w:bCs/>
          <w:color w:val="000000"/>
          <w:sz w:val="28"/>
          <w:szCs w:val="28"/>
        </w:rPr>
      </w:pPr>
    </w:p>
    <w:p w:rsidR="00E24AB0" w:rsidRPr="009138D8" w:rsidRDefault="00E24AB0" w:rsidP="00E24AB0">
      <w:pPr>
        <w:pStyle w:val="ListParagraph"/>
        <w:numPr>
          <w:ilvl w:val="0"/>
          <w:numId w:val="17"/>
        </w:numPr>
        <w:rPr>
          <w:b/>
          <w:bCs/>
          <w:color w:val="000000"/>
        </w:rPr>
      </w:pPr>
      <w:r w:rsidRPr="009138D8">
        <w:rPr>
          <w:b/>
          <w:bCs/>
          <w:color w:val="000000"/>
        </w:rPr>
        <w:t xml:space="preserve">Identifying Consumers for the Satisfaction Survey </w:t>
      </w:r>
    </w:p>
    <w:p w:rsidR="00E24AB0" w:rsidRPr="009138D8" w:rsidRDefault="00E24AB0" w:rsidP="00E24AB0">
      <w:pPr>
        <w:spacing w:before="60"/>
        <w:ind w:left="1080"/>
        <w:rPr>
          <w:color w:val="000000"/>
        </w:rPr>
      </w:pPr>
      <w:r w:rsidRPr="009138D8">
        <w:rPr>
          <w:color w:val="000000"/>
        </w:rPr>
        <w:t xml:space="preserve">All three surveys are designed for consumers who: </w:t>
      </w:r>
    </w:p>
    <w:p w:rsidR="00E24AB0" w:rsidRPr="009138D8" w:rsidRDefault="00E24AB0" w:rsidP="00E24AB0">
      <w:pPr>
        <w:pStyle w:val="ListParagraph"/>
        <w:numPr>
          <w:ilvl w:val="0"/>
          <w:numId w:val="14"/>
        </w:numPr>
        <w:spacing w:before="60"/>
        <w:ind w:left="1800"/>
        <w:contextualSpacing w:val="0"/>
        <w:rPr>
          <w:bCs/>
          <w:iCs/>
          <w:color w:val="000000"/>
        </w:rPr>
      </w:pPr>
      <w:r w:rsidRPr="009138D8">
        <w:rPr>
          <w:bCs/>
          <w:iCs/>
          <w:color w:val="000000"/>
        </w:rPr>
        <w:t xml:space="preserve">have received CCS services through your program for at least 6 months; </w:t>
      </w:r>
    </w:p>
    <w:p w:rsidR="00E24AB0" w:rsidRPr="009138D8" w:rsidRDefault="00E24AB0" w:rsidP="00E24AB0">
      <w:pPr>
        <w:pStyle w:val="ListParagraph"/>
        <w:numPr>
          <w:ilvl w:val="0"/>
          <w:numId w:val="14"/>
        </w:numPr>
        <w:spacing w:before="60"/>
        <w:ind w:left="1800"/>
        <w:contextualSpacing w:val="0"/>
        <w:rPr>
          <w:color w:val="000000"/>
        </w:rPr>
      </w:pPr>
      <w:r w:rsidRPr="009138D8">
        <w:rPr>
          <w:bCs/>
          <w:iCs/>
          <w:color w:val="000000"/>
        </w:rPr>
        <w:t>and</w:t>
      </w:r>
      <w:r w:rsidRPr="009138D8">
        <w:rPr>
          <w:color w:val="000000"/>
        </w:rPr>
        <w:t xml:space="preserve"> </w:t>
      </w:r>
      <w:r w:rsidRPr="009138D8">
        <w:rPr>
          <w:bCs/>
          <w:iCs/>
          <w:color w:val="000000"/>
        </w:rPr>
        <w:t>are still active CCS consumers or were just recently discharged from CCS.</w:t>
      </w:r>
      <w:r w:rsidRPr="009138D8">
        <w:rPr>
          <w:color w:val="000000"/>
        </w:rPr>
        <w:t xml:space="preserve"> </w:t>
      </w:r>
    </w:p>
    <w:p w:rsidR="00E24AB0" w:rsidRPr="009138D8" w:rsidRDefault="00E24AB0" w:rsidP="00E24AB0">
      <w:pPr>
        <w:ind w:left="720"/>
        <w:rPr>
          <w:color w:val="000000"/>
        </w:rPr>
      </w:pPr>
    </w:p>
    <w:p w:rsidR="00E24AB0" w:rsidRPr="009138D8" w:rsidRDefault="00E24AB0" w:rsidP="00E24AB0">
      <w:pPr>
        <w:pStyle w:val="ListParagraph"/>
        <w:numPr>
          <w:ilvl w:val="0"/>
          <w:numId w:val="17"/>
        </w:numPr>
        <w:rPr>
          <w:b/>
          <w:bCs/>
          <w:color w:val="000000"/>
        </w:rPr>
      </w:pPr>
      <w:r w:rsidRPr="009138D8">
        <w:rPr>
          <w:b/>
          <w:bCs/>
          <w:color w:val="000000"/>
        </w:rPr>
        <w:t xml:space="preserve">Choosing a Survey Administration Method </w:t>
      </w:r>
    </w:p>
    <w:p w:rsidR="00E24AB0" w:rsidRPr="009138D8" w:rsidRDefault="00E24AB0" w:rsidP="00E24AB0">
      <w:pPr>
        <w:spacing w:before="60"/>
        <w:ind w:left="720" w:firstLine="360"/>
        <w:rPr>
          <w:color w:val="000000"/>
        </w:rPr>
      </w:pPr>
      <w:r w:rsidRPr="009138D8">
        <w:rPr>
          <w:color w:val="000000"/>
        </w:rPr>
        <w:t xml:space="preserve">There are three basic choices when collecting survey data: </w:t>
      </w:r>
    </w:p>
    <w:p w:rsidR="00E24AB0" w:rsidRPr="009138D8" w:rsidRDefault="00E24AB0" w:rsidP="00E24AB0">
      <w:pPr>
        <w:pStyle w:val="ListParagraph"/>
        <w:numPr>
          <w:ilvl w:val="0"/>
          <w:numId w:val="15"/>
        </w:numPr>
        <w:spacing w:before="60"/>
        <w:ind w:left="1440"/>
        <w:contextualSpacing w:val="0"/>
        <w:rPr>
          <w:color w:val="000000"/>
        </w:rPr>
      </w:pPr>
      <w:r w:rsidRPr="009138D8">
        <w:rPr>
          <w:color w:val="000000"/>
        </w:rPr>
        <w:t xml:space="preserve">In-person interview (typical response rate: 75-85 percent) </w:t>
      </w:r>
    </w:p>
    <w:p w:rsidR="00E24AB0" w:rsidRPr="009138D8" w:rsidRDefault="00E24AB0" w:rsidP="00E24AB0">
      <w:pPr>
        <w:pStyle w:val="ListParagraph"/>
        <w:numPr>
          <w:ilvl w:val="0"/>
          <w:numId w:val="15"/>
        </w:numPr>
        <w:spacing w:before="60"/>
        <w:ind w:left="1440"/>
        <w:contextualSpacing w:val="0"/>
        <w:rPr>
          <w:color w:val="000000"/>
        </w:rPr>
      </w:pPr>
      <w:r w:rsidRPr="009138D8">
        <w:rPr>
          <w:color w:val="000000"/>
        </w:rPr>
        <w:t xml:space="preserve">Phone interview (typical response rate: 60-70 percent) </w:t>
      </w:r>
    </w:p>
    <w:p w:rsidR="00E24AB0" w:rsidRPr="009138D8" w:rsidRDefault="00E24AB0" w:rsidP="00E24AB0">
      <w:pPr>
        <w:pStyle w:val="ListParagraph"/>
        <w:numPr>
          <w:ilvl w:val="0"/>
          <w:numId w:val="15"/>
        </w:numPr>
        <w:spacing w:before="60"/>
        <w:ind w:left="1440"/>
        <w:contextualSpacing w:val="0"/>
        <w:rPr>
          <w:color w:val="000000"/>
        </w:rPr>
      </w:pPr>
      <w:r w:rsidRPr="009138D8">
        <w:rPr>
          <w:color w:val="000000"/>
        </w:rPr>
        <w:t>Self-administered survey (typical response rate: 35-45 percent)</w:t>
      </w:r>
    </w:p>
    <w:p w:rsidR="00E24AB0" w:rsidRPr="009138D8" w:rsidRDefault="00E24AB0" w:rsidP="00E24AB0">
      <w:pPr>
        <w:ind w:left="720"/>
        <w:rPr>
          <w:color w:val="000000"/>
        </w:rPr>
      </w:pPr>
    </w:p>
    <w:p w:rsidR="00E24AB0" w:rsidRPr="009138D8" w:rsidRDefault="00E24AB0" w:rsidP="00E24AB0">
      <w:pPr>
        <w:pStyle w:val="ListParagraph"/>
        <w:numPr>
          <w:ilvl w:val="0"/>
          <w:numId w:val="17"/>
        </w:numPr>
        <w:rPr>
          <w:b/>
          <w:bCs/>
          <w:color w:val="000000"/>
        </w:rPr>
      </w:pPr>
      <w:r w:rsidRPr="009138D8">
        <w:rPr>
          <w:b/>
          <w:bCs/>
          <w:color w:val="000000"/>
        </w:rPr>
        <w:t>Tips on How to Collect the Survey Data</w:t>
      </w:r>
    </w:p>
    <w:p w:rsidR="00E24AB0" w:rsidRPr="009138D8" w:rsidRDefault="00E24AB0" w:rsidP="00E24AB0">
      <w:pPr>
        <w:pStyle w:val="ListParagraph"/>
        <w:numPr>
          <w:ilvl w:val="0"/>
          <w:numId w:val="13"/>
        </w:numPr>
        <w:spacing w:before="60"/>
        <w:ind w:left="1440"/>
        <w:contextualSpacing w:val="0"/>
        <w:rPr>
          <w:color w:val="000000"/>
        </w:rPr>
      </w:pPr>
      <w:r w:rsidRPr="009138D8">
        <w:rPr>
          <w:color w:val="000000"/>
        </w:rPr>
        <w:t>Set up the survey appropriately with an orientation or cover letter</w:t>
      </w:r>
    </w:p>
    <w:p w:rsidR="00E24AB0" w:rsidRPr="009138D8" w:rsidRDefault="00E24AB0" w:rsidP="00E24AB0">
      <w:pPr>
        <w:pStyle w:val="ListParagraph"/>
        <w:numPr>
          <w:ilvl w:val="0"/>
          <w:numId w:val="13"/>
        </w:numPr>
        <w:spacing w:before="60"/>
        <w:ind w:left="1440"/>
        <w:contextualSpacing w:val="0"/>
        <w:rPr>
          <w:color w:val="000000"/>
        </w:rPr>
      </w:pPr>
      <w:r w:rsidRPr="009138D8">
        <w:rPr>
          <w:iCs/>
          <w:color w:val="000000"/>
        </w:rPr>
        <w:t>Use a definition sheet to explain survey terms to the consumer</w:t>
      </w:r>
    </w:p>
    <w:p w:rsidR="00E24AB0" w:rsidRPr="009138D8" w:rsidRDefault="00E24AB0" w:rsidP="00E24AB0">
      <w:pPr>
        <w:pStyle w:val="ListParagraph"/>
        <w:numPr>
          <w:ilvl w:val="0"/>
          <w:numId w:val="13"/>
        </w:numPr>
        <w:spacing w:before="60"/>
        <w:ind w:left="1440"/>
        <w:contextualSpacing w:val="0"/>
        <w:rPr>
          <w:color w:val="000000"/>
        </w:rPr>
      </w:pPr>
      <w:r w:rsidRPr="009138D8">
        <w:rPr>
          <w:iCs/>
          <w:color w:val="000000"/>
        </w:rPr>
        <w:t>Enlist the assistance of Certified Peer Specialists\</w:t>
      </w:r>
    </w:p>
    <w:p w:rsidR="00E24AB0" w:rsidRPr="009138D8" w:rsidRDefault="00E24AB0" w:rsidP="00E24AB0">
      <w:pPr>
        <w:pStyle w:val="ListParagraph"/>
        <w:numPr>
          <w:ilvl w:val="0"/>
          <w:numId w:val="13"/>
        </w:numPr>
        <w:spacing w:before="60"/>
        <w:ind w:left="1440"/>
        <w:contextualSpacing w:val="0"/>
        <w:rPr>
          <w:color w:val="000000"/>
        </w:rPr>
      </w:pPr>
      <w:r w:rsidRPr="009138D8">
        <w:rPr>
          <w:iCs/>
          <w:color w:val="000000"/>
        </w:rPr>
        <w:t>Provide a neutral environment for the consumer to complete the survey</w:t>
      </w:r>
    </w:p>
    <w:p w:rsidR="00E24AB0" w:rsidRPr="009138D8" w:rsidRDefault="00E24AB0" w:rsidP="00E24AB0">
      <w:pPr>
        <w:pStyle w:val="ListParagraph"/>
        <w:numPr>
          <w:ilvl w:val="0"/>
          <w:numId w:val="13"/>
        </w:numPr>
        <w:spacing w:before="60"/>
        <w:ind w:left="1440"/>
        <w:contextualSpacing w:val="0"/>
        <w:rPr>
          <w:color w:val="000000"/>
        </w:rPr>
      </w:pPr>
      <w:r w:rsidRPr="009138D8">
        <w:rPr>
          <w:iCs/>
          <w:color w:val="000000"/>
        </w:rPr>
        <w:t>Make sure the consumer completes the survey independently</w:t>
      </w:r>
    </w:p>
    <w:p w:rsidR="00E24AB0" w:rsidRPr="009138D8" w:rsidRDefault="00E24AB0" w:rsidP="00E24AB0">
      <w:pPr>
        <w:pStyle w:val="ListParagraph"/>
        <w:numPr>
          <w:ilvl w:val="0"/>
          <w:numId w:val="13"/>
        </w:numPr>
        <w:spacing w:before="60"/>
        <w:ind w:left="1440"/>
        <w:contextualSpacing w:val="0"/>
        <w:rPr>
          <w:color w:val="000000"/>
        </w:rPr>
      </w:pPr>
      <w:r w:rsidRPr="009138D8">
        <w:rPr>
          <w:iCs/>
          <w:color w:val="000000"/>
        </w:rPr>
        <w:t>Make the survey voluntary and anonymous</w:t>
      </w:r>
    </w:p>
    <w:p w:rsidR="00E24AB0" w:rsidRPr="009138D8" w:rsidRDefault="00E24AB0" w:rsidP="00E24AB0">
      <w:pPr>
        <w:pStyle w:val="ListParagraph"/>
        <w:numPr>
          <w:ilvl w:val="0"/>
          <w:numId w:val="13"/>
        </w:numPr>
        <w:spacing w:before="60"/>
        <w:ind w:left="1440"/>
        <w:contextualSpacing w:val="0"/>
        <w:rPr>
          <w:color w:val="000000"/>
        </w:rPr>
      </w:pPr>
      <w:r w:rsidRPr="009138D8">
        <w:rPr>
          <w:iCs/>
          <w:color w:val="000000"/>
        </w:rPr>
        <w:t>Obtain the necessary consent</w:t>
      </w:r>
    </w:p>
    <w:p w:rsidR="00E24AB0" w:rsidRPr="009138D8" w:rsidRDefault="00E24AB0" w:rsidP="00E24AB0">
      <w:pPr>
        <w:pStyle w:val="ListParagraph"/>
        <w:numPr>
          <w:ilvl w:val="0"/>
          <w:numId w:val="13"/>
        </w:numPr>
        <w:spacing w:before="60"/>
        <w:ind w:left="1440"/>
        <w:contextualSpacing w:val="0"/>
        <w:rPr>
          <w:color w:val="000000"/>
        </w:rPr>
      </w:pPr>
      <w:r w:rsidRPr="009138D8">
        <w:rPr>
          <w:iCs/>
          <w:color w:val="000000"/>
        </w:rPr>
        <w:t>Offer incentives</w:t>
      </w:r>
    </w:p>
    <w:p w:rsidR="00E24AB0" w:rsidRPr="009138D8" w:rsidRDefault="00E24AB0" w:rsidP="00E24AB0">
      <w:pPr>
        <w:ind w:left="720"/>
        <w:rPr>
          <w:color w:val="000000"/>
        </w:rPr>
      </w:pPr>
    </w:p>
    <w:p w:rsidR="00E24AB0" w:rsidRPr="009138D8" w:rsidRDefault="00E24AB0" w:rsidP="00E24AB0">
      <w:pPr>
        <w:pStyle w:val="ListParagraph"/>
        <w:numPr>
          <w:ilvl w:val="0"/>
          <w:numId w:val="17"/>
        </w:numPr>
        <w:rPr>
          <w:b/>
          <w:color w:val="000000"/>
        </w:rPr>
      </w:pPr>
      <w:r w:rsidRPr="009138D8">
        <w:rPr>
          <w:b/>
          <w:color w:val="000000"/>
        </w:rPr>
        <w:t>Data Entry and Submission</w:t>
      </w:r>
    </w:p>
    <w:p w:rsidR="00E24AB0" w:rsidRPr="009138D8" w:rsidRDefault="00E24AB0" w:rsidP="00E24AB0">
      <w:pPr>
        <w:ind w:left="720"/>
        <w:rPr>
          <w:color w:val="000000"/>
        </w:rPr>
      </w:pPr>
    </w:p>
    <w:p w:rsidR="00E24AB0" w:rsidRPr="009138D8" w:rsidRDefault="00E24AB0" w:rsidP="00E24AB0">
      <w:pPr>
        <w:pStyle w:val="ListParagraph"/>
        <w:numPr>
          <w:ilvl w:val="0"/>
          <w:numId w:val="17"/>
        </w:numPr>
        <w:rPr>
          <w:b/>
          <w:color w:val="000000"/>
        </w:rPr>
      </w:pPr>
      <w:r w:rsidRPr="009138D8">
        <w:rPr>
          <w:b/>
          <w:color w:val="000000"/>
        </w:rPr>
        <w:t>Development of a regional report</w:t>
      </w:r>
    </w:p>
    <w:p w:rsidR="00E24AB0" w:rsidRPr="009138D8" w:rsidRDefault="00E24AB0" w:rsidP="00E24AB0">
      <w:pPr>
        <w:ind w:left="720"/>
        <w:rPr>
          <w:color w:val="000000"/>
        </w:rPr>
      </w:pPr>
    </w:p>
    <w:p w:rsidR="00E24AB0" w:rsidRPr="00E24AB0" w:rsidRDefault="00E24AB0" w:rsidP="00E24AB0">
      <w:pPr>
        <w:rPr>
          <w:b/>
        </w:rPr>
      </w:pPr>
    </w:p>
    <w:sectPr w:rsidR="00E24AB0" w:rsidRPr="00E24AB0" w:rsidSect="000B317B">
      <w:footerReference w:type="default" r:id="rId7"/>
      <w:pgSz w:w="12240" w:h="15840"/>
      <w:pgMar w:top="806" w:right="1008" w:bottom="864" w:left="1008"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B6" w:rsidRDefault="009A6DB6" w:rsidP="006E44FF">
      <w:r>
        <w:separator/>
      </w:r>
    </w:p>
  </w:endnote>
  <w:endnote w:type="continuationSeparator" w:id="0">
    <w:p w:rsidR="009A6DB6" w:rsidRDefault="009A6DB6" w:rsidP="006E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191995"/>
      <w:docPartObj>
        <w:docPartGallery w:val="Page Numbers (Bottom of Page)"/>
        <w:docPartUnique/>
      </w:docPartObj>
    </w:sdtPr>
    <w:sdtEndPr>
      <w:rPr>
        <w:noProof/>
        <w:sz w:val="20"/>
      </w:rPr>
    </w:sdtEndPr>
    <w:sdtContent>
      <w:p w:rsidR="001D4798" w:rsidRPr="006E44FF" w:rsidRDefault="001D4798">
        <w:pPr>
          <w:pStyle w:val="Footer"/>
          <w:jc w:val="center"/>
          <w:rPr>
            <w:sz w:val="20"/>
          </w:rPr>
        </w:pPr>
        <w:r w:rsidRPr="006E44FF">
          <w:rPr>
            <w:sz w:val="20"/>
          </w:rPr>
          <w:fldChar w:fldCharType="begin"/>
        </w:r>
        <w:r w:rsidRPr="006E44FF">
          <w:rPr>
            <w:sz w:val="20"/>
          </w:rPr>
          <w:instrText xml:space="preserve"> PAGE   \* MERGEFORMAT </w:instrText>
        </w:r>
        <w:r w:rsidRPr="006E44FF">
          <w:rPr>
            <w:sz w:val="20"/>
          </w:rPr>
          <w:fldChar w:fldCharType="separate"/>
        </w:r>
        <w:r w:rsidR="00EB7460">
          <w:rPr>
            <w:noProof/>
            <w:sz w:val="20"/>
          </w:rPr>
          <w:t>2</w:t>
        </w:r>
        <w:r w:rsidRPr="006E44FF">
          <w:rPr>
            <w:noProof/>
            <w:sz w:val="20"/>
          </w:rPr>
          <w:fldChar w:fldCharType="end"/>
        </w:r>
      </w:p>
    </w:sdtContent>
  </w:sdt>
  <w:p w:rsidR="001D4798" w:rsidRDefault="001D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B6" w:rsidRDefault="009A6DB6" w:rsidP="006E44FF">
      <w:r>
        <w:separator/>
      </w:r>
    </w:p>
  </w:footnote>
  <w:footnote w:type="continuationSeparator" w:id="0">
    <w:p w:rsidR="009A6DB6" w:rsidRDefault="009A6DB6" w:rsidP="006E4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3C9"/>
    <w:multiLevelType w:val="hybridMultilevel"/>
    <w:tmpl w:val="DBB2D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0622C0"/>
    <w:multiLevelType w:val="hybridMultilevel"/>
    <w:tmpl w:val="C26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7317F"/>
    <w:multiLevelType w:val="hybridMultilevel"/>
    <w:tmpl w:val="1D521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C20043"/>
    <w:multiLevelType w:val="hybridMultilevel"/>
    <w:tmpl w:val="52DE60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36481B12"/>
    <w:multiLevelType w:val="hybridMultilevel"/>
    <w:tmpl w:val="96086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D774F"/>
    <w:multiLevelType w:val="hybridMultilevel"/>
    <w:tmpl w:val="CDE4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34CE7"/>
    <w:multiLevelType w:val="hybridMultilevel"/>
    <w:tmpl w:val="4DA2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F3B60"/>
    <w:multiLevelType w:val="hybridMultilevel"/>
    <w:tmpl w:val="A0206C96"/>
    <w:lvl w:ilvl="0" w:tplc="4FFE3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C8125C"/>
    <w:multiLevelType w:val="hybridMultilevel"/>
    <w:tmpl w:val="064A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2FA4"/>
    <w:multiLevelType w:val="hybridMultilevel"/>
    <w:tmpl w:val="A82C0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3C766C"/>
    <w:multiLevelType w:val="hybridMultilevel"/>
    <w:tmpl w:val="DAD2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22C"/>
    <w:multiLevelType w:val="hybridMultilevel"/>
    <w:tmpl w:val="5EC4E4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059C7"/>
    <w:multiLevelType w:val="hybridMultilevel"/>
    <w:tmpl w:val="5094C6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22725"/>
    <w:multiLevelType w:val="hybridMultilevel"/>
    <w:tmpl w:val="BC78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47099"/>
    <w:multiLevelType w:val="hybridMultilevel"/>
    <w:tmpl w:val="EDA46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AB416B"/>
    <w:multiLevelType w:val="hybridMultilevel"/>
    <w:tmpl w:val="D6E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E6EBE"/>
    <w:multiLevelType w:val="hybridMultilevel"/>
    <w:tmpl w:val="84BE1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AF56EB"/>
    <w:multiLevelType w:val="hybridMultilevel"/>
    <w:tmpl w:val="B4E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5"/>
  </w:num>
  <w:num w:numId="5">
    <w:abstractNumId w:val="11"/>
  </w:num>
  <w:num w:numId="6">
    <w:abstractNumId w:val="16"/>
  </w:num>
  <w:num w:numId="7">
    <w:abstractNumId w:val="9"/>
  </w:num>
  <w:num w:numId="8">
    <w:abstractNumId w:val="14"/>
  </w:num>
  <w:num w:numId="9">
    <w:abstractNumId w:val="17"/>
  </w:num>
  <w:num w:numId="10">
    <w:abstractNumId w:val="0"/>
  </w:num>
  <w:num w:numId="11">
    <w:abstractNumId w:val="2"/>
  </w:num>
  <w:num w:numId="12">
    <w:abstractNumId w:val="8"/>
  </w:num>
  <w:num w:numId="13">
    <w:abstractNumId w:val="6"/>
  </w:num>
  <w:num w:numId="14">
    <w:abstractNumId w:val="1"/>
  </w:num>
  <w:num w:numId="15">
    <w:abstractNumId w:val="10"/>
  </w:num>
  <w:num w:numId="16">
    <w:abstractNumId w:val="1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36DC6"/>
    <w:rsid w:val="00070F5E"/>
    <w:rsid w:val="000B317B"/>
    <w:rsid w:val="000B681B"/>
    <w:rsid w:val="000C761C"/>
    <w:rsid w:val="000E391F"/>
    <w:rsid w:val="00103AEF"/>
    <w:rsid w:val="001A04DC"/>
    <w:rsid w:val="001D46E5"/>
    <w:rsid w:val="001D4798"/>
    <w:rsid w:val="001F7927"/>
    <w:rsid w:val="002310FC"/>
    <w:rsid w:val="00270581"/>
    <w:rsid w:val="00297771"/>
    <w:rsid w:val="002C44A1"/>
    <w:rsid w:val="002D0AC8"/>
    <w:rsid w:val="003271F1"/>
    <w:rsid w:val="0035554D"/>
    <w:rsid w:val="00393267"/>
    <w:rsid w:val="003A5230"/>
    <w:rsid w:val="003F77B4"/>
    <w:rsid w:val="00441A16"/>
    <w:rsid w:val="004548AB"/>
    <w:rsid w:val="00456B11"/>
    <w:rsid w:val="00467E52"/>
    <w:rsid w:val="00496DF7"/>
    <w:rsid w:val="005379ED"/>
    <w:rsid w:val="00583941"/>
    <w:rsid w:val="00585277"/>
    <w:rsid w:val="005C50CD"/>
    <w:rsid w:val="005F08FB"/>
    <w:rsid w:val="005F4E99"/>
    <w:rsid w:val="0062521C"/>
    <w:rsid w:val="00637CD7"/>
    <w:rsid w:val="0064724C"/>
    <w:rsid w:val="006661FA"/>
    <w:rsid w:val="00690257"/>
    <w:rsid w:val="006B0968"/>
    <w:rsid w:val="006C1BDA"/>
    <w:rsid w:val="006E44FF"/>
    <w:rsid w:val="00770561"/>
    <w:rsid w:val="007841FD"/>
    <w:rsid w:val="007901B9"/>
    <w:rsid w:val="007952D0"/>
    <w:rsid w:val="007A7695"/>
    <w:rsid w:val="007D14AE"/>
    <w:rsid w:val="007F228B"/>
    <w:rsid w:val="0082037F"/>
    <w:rsid w:val="00825AD2"/>
    <w:rsid w:val="0083209E"/>
    <w:rsid w:val="00870C50"/>
    <w:rsid w:val="00894346"/>
    <w:rsid w:val="008B0AA5"/>
    <w:rsid w:val="008C3C18"/>
    <w:rsid w:val="00902B82"/>
    <w:rsid w:val="00957110"/>
    <w:rsid w:val="009A0711"/>
    <w:rsid w:val="009A6DB6"/>
    <w:rsid w:val="009B13C5"/>
    <w:rsid w:val="009C06E0"/>
    <w:rsid w:val="009D47B1"/>
    <w:rsid w:val="00A03A5D"/>
    <w:rsid w:val="00A1041D"/>
    <w:rsid w:val="00A21B6F"/>
    <w:rsid w:val="00A53B85"/>
    <w:rsid w:val="00A61886"/>
    <w:rsid w:val="00A667CF"/>
    <w:rsid w:val="00A80788"/>
    <w:rsid w:val="00A9132D"/>
    <w:rsid w:val="00A9351B"/>
    <w:rsid w:val="00AD29AD"/>
    <w:rsid w:val="00B229D9"/>
    <w:rsid w:val="00B32E6C"/>
    <w:rsid w:val="00B33966"/>
    <w:rsid w:val="00B41A14"/>
    <w:rsid w:val="00B62678"/>
    <w:rsid w:val="00BA5F5B"/>
    <w:rsid w:val="00C00B32"/>
    <w:rsid w:val="00C22CFE"/>
    <w:rsid w:val="00C4099F"/>
    <w:rsid w:val="00C56B16"/>
    <w:rsid w:val="00C8542C"/>
    <w:rsid w:val="00CA46DE"/>
    <w:rsid w:val="00CC142A"/>
    <w:rsid w:val="00CC2A0C"/>
    <w:rsid w:val="00CC7E5A"/>
    <w:rsid w:val="00CE3FC2"/>
    <w:rsid w:val="00D11775"/>
    <w:rsid w:val="00D121C2"/>
    <w:rsid w:val="00D73FA5"/>
    <w:rsid w:val="00DB2369"/>
    <w:rsid w:val="00E14321"/>
    <w:rsid w:val="00E229D9"/>
    <w:rsid w:val="00E24AB0"/>
    <w:rsid w:val="00EB7460"/>
    <w:rsid w:val="00EC1B0F"/>
    <w:rsid w:val="00F316DF"/>
    <w:rsid w:val="00F96973"/>
    <w:rsid w:val="00FC0EEF"/>
    <w:rsid w:val="00FC76F1"/>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D635A"/>
  <w15:chartTrackingRefBased/>
  <w15:docId w15:val="{71F66D38-B21B-4336-B0E8-47C8627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B32E6C"/>
    <w:rPr>
      <w:color w:val="0563C1" w:themeColor="hyperlink"/>
      <w:u w:val="single"/>
    </w:rPr>
  </w:style>
  <w:style w:type="paragraph" w:styleId="BalloonText">
    <w:name w:val="Balloon Text"/>
    <w:basedOn w:val="Normal"/>
    <w:link w:val="BalloonTextChar"/>
    <w:uiPriority w:val="99"/>
    <w:semiHidden/>
    <w:unhideWhenUsed/>
    <w:rsid w:val="00EC1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0F"/>
    <w:rPr>
      <w:rFonts w:ascii="Segoe UI" w:hAnsi="Segoe UI" w:cs="Segoe UI"/>
      <w:sz w:val="18"/>
      <w:szCs w:val="18"/>
    </w:rPr>
  </w:style>
  <w:style w:type="paragraph" w:styleId="Header">
    <w:name w:val="header"/>
    <w:basedOn w:val="Normal"/>
    <w:link w:val="HeaderChar"/>
    <w:uiPriority w:val="99"/>
    <w:unhideWhenUsed/>
    <w:rsid w:val="006E44FF"/>
    <w:pPr>
      <w:tabs>
        <w:tab w:val="center" w:pos="4680"/>
        <w:tab w:val="right" w:pos="9360"/>
      </w:tabs>
    </w:pPr>
  </w:style>
  <w:style w:type="character" w:customStyle="1" w:styleId="HeaderChar">
    <w:name w:val="Header Char"/>
    <w:basedOn w:val="DefaultParagraphFont"/>
    <w:link w:val="Header"/>
    <w:uiPriority w:val="99"/>
    <w:rsid w:val="006E44FF"/>
  </w:style>
  <w:style w:type="paragraph" w:styleId="Footer">
    <w:name w:val="footer"/>
    <w:basedOn w:val="Normal"/>
    <w:link w:val="FooterChar"/>
    <w:uiPriority w:val="99"/>
    <w:unhideWhenUsed/>
    <w:rsid w:val="006E44FF"/>
    <w:pPr>
      <w:tabs>
        <w:tab w:val="center" w:pos="4680"/>
        <w:tab w:val="right" w:pos="9360"/>
      </w:tabs>
    </w:pPr>
  </w:style>
  <w:style w:type="character" w:customStyle="1" w:styleId="FooterChar">
    <w:name w:val="Footer Char"/>
    <w:basedOn w:val="DefaultParagraphFont"/>
    <w:link w:val="Footer"/>
    <w:uiPriority w:val="99"/>
    <w:rsid w:val="006E44FF"/>
  </w:style>
  <w:style w:type="character" w:customStyle="1" w:styleId="apple-converted-space">
    <w:name w:val="apple-converted-space"/>
    <w:basedOn w:val="DefaultParagraphFont"/>
    <w:rsid w:val="00FC76F1"/>
  </w:style>
  <w:style w:type="character" w:styleId="Emphasis">
    <w:name w:val="Emphasis"/>
    <w:basedOn w:val="DefaultParagraphFont"/>
    <w:uiPriority w:val="20"/>
    <w:qFormat/>
    <w:rsid w:val="00FC7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19</cp:revision>
  <cp:lastPrinted>2016-08-02T19:44:00Z</cp:lastPrinted>
  <dcterms:created xsi:type="dcterms:W3CDTF">2016-07-14T19:13:00Z</dcterms:created>
  <dcterms:modified xsi:type="dcterms:W3CDTF">2016-08-02T19:46:00Z</dcterms:modified>
</cp:coreProperties>
</file>