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42A" w:rsidRDefault="009D7FFE" w:rsidP="00FF377D">
      <w:pPr>
        <w:pStyle w:val="ListParagraph"/>
        <w:ind w:left="0"/>
        <w:jc w:val="center"/>
        <w:rPr>
          <w:b/>
          <w:sz w:val="24"/>
        </w:rPr>
      </w:pPr>
      <w:r w:rsidRPr="00317E0A">
        <w:rPr>
          <w:b/>
          <w:sz w:val="24"/>
        </w:rPr>
        <w:t>Phone Conference with CCS Service Directors / Q</w:t>
      </w:r>
      <w:r w:rsidR="00317E0A">
        <w:rPr>
          <w:b/>
          <w:sz w:val="24"/>
        </w:rPr>
        <w:t xml:space="preserve">uality </w:t>
      </w:r>
      <w:r w:rsidRPr="00317E0A">
        <w:rPr>
          <w:b/>
          <w:sz w:val="24"/>
        </w:rPr>
        <w:t>I</w:t>
      </w:r>
      <w:r w:rsidR="00317E0A">
        <w:rPr>
          <w:b/>
          <w:sz w:val="24"/>
        </w:rPr>
        <w:t>mprovement</w:t>
      </w:r>
      <w:r w:rsidRPr="00317E0A">
        <w:rPr>
          <w:b/>
          <w:sz w:val="24"/>
        </w:rPr>
        <w:t xml:space="preserve"> Committee</w:t>
      </w:r>
    </w:p>
    <w:p w:rsidR="00317E0A" w:rsidRPr="00317E0A" w:rsidRDefault="00317E0A" w:rsidP="00FF377D">
      <w:pPr>
        <w:pStyle w:val="ListParagraph"/>
        <w:ind w:left="0"/>
        <w:jc w:val="center"/>
        <w:rPr>
          <w:b/>
        </w:rPr>
      </w:pPr>
      <w:r w:rsidRPr="00317E0A">
        <w:rPr>
          <w:b/>
        </w:rPr>
        <w:t>Wednesday, September 30</w:t>
      </w:r>
      <w:r w:rsidRPr="00317E0A">
        <w:rPr>
          <w:b/>
          <w:vertAlign w:val="superscript"/>
        </w:rPr>
        <w:t>th</w:t>
      </w:r>
      <w:r w:rsidRPr="00317E0A">
        <w:rPr>
          <w:b/>
        </w:rPr>
        <w:t>, 2015</w:t>
      </w:r>
    </w:p>
    <w:p w:rsidR="00317E0A" w:rsidRPr="00FF377D" w:rsidRDefault="00317E0A" w:rsidP="00FF377D">
      <w:pPr>
        <w:pStyle w:val="ListParagraph"/>
        <w:ind w:left="0"/>
        <w:jc w:val="center"/>
        <w:rPr>
          <w:b/>
        </w:rPr>
      </w:pPr>
    </w:p>
    <w:p w:rsidR="009D7FFE" w:rsidRDefault="00494E00" w:rsidP="00317E0A">
      <w:pPr>
        <w:pStyle w:val="ListParagraph"/>
        <w:ind w:left="0"/>
        <w:contextualSpacing w:val="0"/>
      </w:pPr>
      <w:r w:rsidRPr="00494E00">
        <w:rPr>
          <w:b/>
        </w:rPr>
        <w:t>Participants:</w:t>
      </w:r>
      <w:r>
        <w:t xml:space="preserve"> </w:t>
      </w:r>
      <w:r w:rsidR="009D7FFE">
        <w:t>JoAnn</w:t>
      </w:r>
      <w:r>
        <w:t xml:space="preserve"> Geiger</w:t>
      </w:r>
      <w:r w:rsidR="009D7FFE">
        <w:t xml:space="preserve"> (Juneau); Jessie </w:t>
      </w:r>
      <w:r>
        <w:t>Jenson and</w:t>
      </w:r>
      <w:r w:rsidR="009D7FFE">
        <w:t xml:space="preserve"> Sherrie</w:t>
      </w:r>
      <w:r>
        <w:t xml:space="preserve"> Nichols</w:t>
      </w:r>
      <w:r w:rsidR="009D7FFE">
        <w:t xml:space="preserve"> (Waupaca); Dawn</w:t>
      </w:r>
      <w:r>
        <w:t xml:space="preserve"> Buchholz</w:t>
      </w:r>
      <w:r w:rsidR="009D7FFE">
        <w:t>, Renee</w:t>
      </w:r>
      <w:r>
        <w:t xml:space="preserve"> </w:t>
      </w:r>
      <w:proofErr w:type="spellStart"/>
      <w:r>
        <w:t>Soroko</w:t>
      </w:r>
      <w:proofErr w:type="spellEnd"/>
      <w:r w:rsidR="009D7FFE">
        <w:t xml:space="preserve">, and Dr. Tony Morgan Jones (Waushara); Tamara </w:t>
      </w:r>
      <w:proofErr w:type="spellStart"/>
      <w:r w:rsidR="009D7FFE">
        <w:t>Laskowski</w:t>
      </w:r>
      <w:proofErr w:type="spellEnd"/>
      <w:r w:rsidR="009D7FFE">
        <w:t xml:space="preserve"> (Adams); Brittney </w:t>
      </w:r>
      <w:proofErr w:type="spellStart"/>
      <w:r w:rsidR="009D7FFE">
        <w:t>Bachorz</w:t>
      </w:r>
      <w:proofErr w:type="spellEnd"/>
      <w:r w:rsidR="009D7FFE">
        <w:t xml:space="preserve"> (</w:t>
      </w:r>
      <w:r>
        <w:t xml:space="preserve">Green Lake); Laura Blakeslee (Division of Mental Health and Substance Abuse Services), Dan Naylor, Lori Martin, and Dr. Rick </w:t>
      </w:r>
      <w:proofErr w:type="spellStart"/>
      <w:r>
        <w:t>Immler</w:t>
      </w:r>
      <w:proofErr w:type="spellEnd"/>
      <w:r>
        <w:t xml:space="preserve"> (White Pine Consulting)</w:t>
      </w:r>
    </w:p>
    <w:p w:rsidR="00317E0A" w:rsidRDefault="00317E0A" w:rsidP="00317E0A">
      <w:pPr>
        <w:pStyle w:val="ListParagraph"/>
        <w:ind w:left="0"/>
        <w:contextualSpacing w:val="0"/>
      </w:pPr>
    </w:p>
    <w:p w:rsidR="00FF377D" w:rsidRPr="001A0C4F" w:rsidRDefault="00FF377D" w:rsidP="00317E0A">
      <w:pPr>
        <w:pStyle w:val="ListParagraph"/>
        <w:numPr>
          <w:ilvl w:val="0"/>
          <w:numId w:val="1"/>
        </w:numPr>
        <w:ind w:left="360"/>
        <w:contextualSpacing w:val="0"/>
        <w:rPr>
          <w:b/>
        </w:rPr>
      </w:pPr>
      <w:r w:rsidRPr="001A0C4F">
        <w:rPr>
          <w:b/>
        </w:rPr>
        <w:t>Overview of regional structure</w:t>
      </w:r>
      <w:r w:rsidR="001A0C4F" w:rsidRPr="001A0C4F">
        <w:rPr>
          <w:b/>
        </w:rPr>
        <w:t xml:space="preserve"> including subcommittees</w:t>
      </w:r>
    </w:p>
    <w:p w:rsidR="00FF377D" w:rsidRDefault="00494E00" w:rsidP="00317E0A">
      <w:pPr>
        <w:pStyle w:val="ListParagraph"/>
        <w:numPr>
          <w:ilvl w:val="0"/>
          <w:numId w:val="4"/>
        </w:numPr>
        <w:spacing w:before="80"/>
        <w:contextualSpacing w:val="0"/>
      </w:pPr>
      <w:r>
        <w:t>Lori and Dan co-coordinate the 6-county CCS initiative.  The CCS Regional Coordinating Committee (RCC) oversees the initiative and is repr</w:t>
      </w:r>
      <w:bookmarkStart w:id="0" w:name="_GoBack"/>
      <w:bookmarkEnd w:id="0"/>
      <w:r>
        <w:t xml:space="preserve">esented by each county’s CCS service director, a consumer, and a board member representative.  </w:t>
      </w:r>
    </w:p>
    <w:p w:rsidR="00FF377D" w:rsidRDefault="00494E00" w:rsidP="00317E0A">
      <w:pPr>
        <w:pStyle w:val="ListParagraph"/>
        <w:spacing w:before="80"/>
        <w:contextualSpacing w:val="0"/>
      </w:pPr>
      <w:r>
        <w:t xml:space="preserve">There are two </w:t>
      </w:r>
      <w:r w:rsidR="001A0C4F">
        <w:t xml:space="preserve">subcommittees of the RCC – the Quality Improvement (QI) and Training Subcommittees.  Our discussion today regarding the Consumer Satisfaction Surveys is part of the work of the QI subcommittee. </w:t>
      </w:r>
      <w:r w:rsidR="00DD5935">
        <w:t xml:space="preserve"> Although we have active membership on both subcommittees, including consumer membership, it has </w:t>
      </w:r>
      <w:r w:rsidR="001A0C4F">
        <w:t xml:space="preserve">historically been by volunteer and hasn’t necessarily included each county’s CCS Service Director.  Through the experience of the subcommittees and the advice of the Human Services Directors, we’d like to invite the CCS Service Directors to be a part of the two subcommittees. </w:t>
      </w:r>
    </w:p>
    <w:p w:rsidR="00FF377D" w:rsidRDefault="001A0C4F" w:rsidP="00317E0A">
      <w:pPr>
        <w:pStyle w:val="ListParagraph"/>
        <w:numPr>
          <w:ilvl w:val="0"/>
          <w:numId w:val="4"/>
        </w:numPr>
        <w:spacing w:before="80" w:after="80"/>
        <w:contextualSpacing w:val="0"/>
      </w:pPr>
      <w:r>
        <w:t xml:space="preserve">The two meetings are usually held back-to-back on the same day.  Lori will send out a scheduling poll.  </w:t>
      </w:r>
      <w:r w:rsidR="00FF377D">
        <w:t xml:space="preserve">Scheduling – QI and training back-to-back.  </w:t>
      </w:r>
      <w:r>
        <w:t xml:space="preserve">Times to stay away from due to regularly scheduled </w:t>
      </w:r>
      <w:r w:rsidR="00DD5935">
        <w:t>meetings</w:t>
      </w:r>
      <w:r>
        <w:t>:</w:t>
      </w:r>
      <w:r w:rsidR="00FF377D">
        <w:t xml:space="preserve">  </w:t>
      </w:r>
    </w:p>
    <w:tbl>
      <w:tblPr>
        <w:tblStyle w:val="TableGrid"/>
        <w:tblW w:w="0" w:type="auto"/>
        <w:tblInd w:w="775" w:type="dxa"/>
        <w:tblLook w:val="04A0" w:firstRow="1" w:lastRow="0" w:firstColumn="1" w:lastColumn="0" w:noHBand="0" w:noVBand="1"/>
      </w:tblPr>
      <w:tblGrid>
        <w:gridCol w:w="1053"/>
        <w:gridCol w:w="1122"/>
        <w:gridCol w:w="708"/>
        <w:gridCol w:w="708"/>
        <w:gridCol w:w="708"/>
        <w:gridCol w:w="766"/>
        <w:gridCol w:w="1177"/>
        <w:gridCol w:w="709"/>
        <w:gridCol w:w="712"/>
        <w:gridCol w:w="710"/>
      </w:tblGrid>
      <w:tr w:rsidR="009D7FFE" w:rsidTr="00DD5935">
        <w:tc>
          <w:tcPr>
            <w:tcW w:w="1053" w:type="dxa"/>
            <w:shd w:val="clear" w:color="auto" w:fill="F2F2F2" w:themeFill="background1" w:themeFillShade="F2"/>
            <w:vAlign w:val="center"/>
          </w:tcPr>
          <w:p w:rsidR="009D7FFE" w:rsidRPr="001A0C4F" w:rsidRDefault="009D7FFE" w:rsidP="00317E0A">
            <w:pPr>
              <w:jc w:val="center"/>
            </w:pPr>
            <w:r w:rsidRPr="001A0C4F">
              <w:t>M AM</w:t>
            </w:r>
          </w:p>
        </w:tc>
        <w:tc>
          <w:tcPr>
            <w:tcW w:w="1122" w:type="dxa"/>
            <w:shd w:val="clear" w:color="auto" w:fill="F2F2F2" w:themeFill="background1" w:themeFillShade="F2"/>
            <w:vAlign w:val="center"/>
          </w:tcPr>
          <w:p w:rsidR="009D7FFE" w:rsidRPr="001A0C4F" w:rsidRDefault="009D7FFE" w:rsidP="00317E0A">
            <w:pPr>
              <w:jc w:val="center"/>
            </w:pPr>
            <w:r w:rsidRPr="001A0C4F">
              <w:t>M PM</w:t>
            </w:r>
          </w:p>
        </w:tc>
        <w:tc>
          <w:tcPr>
            <w:tcW w:w="708" w:type="dxa"/>
            <w:shd w:val="clear" w:color="auto" w:fill="F2F2F2" w:themeFill="background1" w:themeFillShade="F2"/>
            <w:vAlign w:val="center"/>
          </w:tcPr>
          <w:p w:rsidR="009D7FFE" w:rsidRPr="001A0C4F" w:rsidRDefault="009D7FFE" w:rsidP="00317E0A">
            <w:pPr>
              <w:jc w:val="center"/>
            </w:pPr>
            <w:r w:rsidRPr="001A0C4F">
              <w:t>T AM</w:t>
            </w:r>
          </w:p>
        </w:tc>
        <w:tc>
          <w:tcPr>
            <w:tcW w:w="708" w:type="dxa"/>
            <w:shd w:val="clear" w:color="auto" w:fill="F2F2F2" w:themeFill="background1" w:themeFillShade="F2"/>
            <w:vAlign w:val="center"/>
          </w:tcPr>
          <w:p w:rsidR="009D7FFE" w:rsidRPr="001A0C4F" w:rsidRDefault="009D7FFE" w:rsidP="00317E0A">
            <w:pPr>
              <w:jc w:val="center"/>
            </w:pPr>
            <w:r w:rsidRPr="001A0C4F">
              <w:t>T PM</w:t>
            </w:r>
          </w:p>
        </w:tc>
        <w:tc>
          <w:tcPr>
            <w:tcW w:w="708" w:type="dxa"/>
            <w:shd w:val="clear" w:color="auto" w:fill="F2F2F2" w:themeFill="background1" w:themeFillShade="F2"/>
            <w:vAlign w:val="center"/>
          </w:tcPr>
          <w:p w:rsidR="009D7FFE" w:rsidRPr="001A0C4F" w:rsidRDefault="009D7FFE" w:rsidP="00317E0A">
            <w:pPr>
              <w:jc w:val="center"/>
            </w:pPr>
            <w:r w:rsidRPr="001A0C4F">
              <w:t>W AM</w:t>
            </w:r>
          </w:p>
        </w:tc>
        <w:tc>
          <w:tcPr>
            <w:tcW w:w="766" w:type="dxa"/>
            <w:shd w:val="clear" w:color="auto" w:fill="F2F2F2" w:themeFill="background1" w:themeFillShade="F2"/>
            <w:vAlign w:val="center"/>
          </w:tcPr>
          <w:p w:rsidR="009D7FFE" w:rsidRPr="001A0C4F" w:rsidRDefault="009D7FFE" w:rsidP="00317E0A">
            <w:pPr>
              <w:jc w:val="center"/>
            </w:pPr>
            <w:r w:rsidRPr="001A0C4F">
              <w:t>W PM</w:t>
            </w:r>
          </w:p>
        </w:tc>
        <w:tc>
          <w:tcPr>
            <w:tcW w:w="1177" w:type="dxa"/>
            <w:shd w:val="clear" w:color="auto" w:fill="F2F2F2" w:themeFill="background1" w:themeFillShade="F2"/>
            <w:vAlign w:val="center"/>
          </w:tcPr>
          <w:p w:rsidR="009D7FFE" w:rsidRPr="001A0C4F" w:rsidRDefault="009D7FFE" w:rsidP="00317E0A">
            <w:pPr>
              <w:jc w:val="center"/>
            </w:pPr>
            <w:proofErr w:type="spellStart"/>
            <w:r w:rsidRPr="001A0C4F">
              <w:t>Th</w:t>
            </w:r>
            <w:proofErr w:type="spellEnd"/>
            <w:r w:rsidRPr="001A0C4F">
              <w:t xml:space="preserve"> AM</w:t>
            </w:r>
          </w:p>
        </w:tc>
        <w:tc>
          <w:tcPr>
            <w:tcW w:w="709" w:type="dxa"/>
            <w:shd w:val="clear" w:color="auto" w:fill="F2F2F2" w:themeFill="background1" w:themeFillShade="F2"/>
            <w:vAlign w:val="center"/>
          </w:tcPr>
          <w:p w:rsidR="009D7FFE" w:rsidRPr="001A0C4F" w:rsidRDefault="009D7FFE" w:rsidP="00317E0A">
            <w:pPr>
              <w:jc w:val="center"/>
            </w:pPr>
            <w:proofErr w:type="spellStart"/>
            <w:r w:rsidRPr="001A0C4F">
              <w:t>Th</w:t>
            </w:r>
            <w:proofErr w:type="spellEnd"/>
            <w:r w:rsidRPr="001A0C4F">
              <w:t xml:space="preserve"> PM</w:t>
            </w:r>
          </w:p>
        </w:tc>
        <w:tc>
          <w:tcPr>
            <w:tcW w:w="712" w:type="dxa"/>
            <w:shd w:val="clear" w:color="auto" w:fill="F2F2F2" w:themeFill="background1" w:themeFillShade="F2"/>
            <w:vAlign w:val="center"/>
          </w:tcPr>
          <w:p w:rsidR="009D7FFE" w:rsidRPr="001A0C4F" w:rsidRDefault="009D7FFE" w:rsidP="00317E0A">
            <w:pPr>
              <w:jc w:val="center"/>
            </w:pPr>
            <w:r w:rsidRPr="001A0C4F">
              <w:t>F AM</w:t>
            </w:r>
          </w:p>
        </w:tc>
        <w:tc>
          <w:tcPr>
            <w:tcW w:w="710" w:type="dxa"/>
            <w:shd w:val="clear" w:color="auto" w:fill="F2F2F2" w:themeFill="background1" w:themeFillShade="F2"/>
            <w:vAlign w:val="center"/>
          </w:tcPr>
          <w:p w:rsidR="009D7FFE" w:rsidRPr="001A0C4F" w:rsidRDefault="009D7FFE" w:rsidP="00317E0A">
            <w:pPr>
              <w:jc w:val="center"/>
            </w:pPr>
            <w:r w:rsidRPr="001A0C4F">
              <w:t>F PM</w:t>
            </w:r>
          </w:p>
        </w:tc>
      </w:tr>
      <w:tr w:rsidR="009D7FFE" w:rsidTr="00DD5935">
        <w:tc>
          <w:tcPr>
            <w:tcW w:w="1053" w:type="dxa"/>
          </w:tcPr>
          <w:p w:rsidR="009D7FFE" w:rsidRDefault="009D7FFE" w:rsidP="00317E0A">
            <w:r>
              <w:t>Waupaca</w:t>
            </w:r>
          </w:p>
        </w:tc>
        <w:tc>
          <w:tcPr>
            <w:tcW w:w="1122" w:type="dxa"/>
          </w:tcPr>
          <w:p w:rsidR="009D7FFE" w:rsidRDefault="009D7FFE" w:rsidP="00317E0A">
            <w:r>
              <w:t>Waushara</w:t>
            </w:r>
          </w:p>
        </w:tc>
        <w:tc>
          <w:tcPr>
            <w:tcW w:w="708" w:type="dxa"/>
          </w:tcPr>
          <w:p w:rsidR="009D7FFE" w:rsidRDefault="009D7FFE" w:rsidP="00317E0A">
            <w:r>
              <w:t>Rick</w:t>
            </w:r>
          </w:p>
        </w:tc>
        <w:tc>
          <w:tcPr>
            <w:tcW w:w="708" w:type="dxa"/>
          </w:tcPr>
          <w:p w:rsidR="009D7FFE" w:rsidRDefault="009D7FFE" w:rsidP="00317E0A">
            <w:r>
              <w:t>Rick</w:t>
            </w:r>
          </w:p>
        </w:tc>
        <w:tc>
          <w:tcPr>
            <w:tcW w:w="708" w:type="dxa"/>
          </w:tcPr>
          <w:p w:rsidR="009D7FFE" w:rsidRDefault="009D7FFE" w:rsidP="00317E0A"/>
        </w:tc>
        <w:tc>
          <w:tcPr>
            <w:tcW w:w="766" w:type="dxa"/>
          </w:tcPr>
          <w:p w:rsidR="009D7FFE" w:rsidRDefault="009D7FFE" w:rsidP="00317E0A">
            <w:r>
              <w:t>Green Lake</w:t>
            </w:r>
          </w:p>
        </w:tc>
        <w:tc>
          <w:tcPr>
            <w:tcW w:w="1177" w:type="dxa"/>
          </w:tcPr>
          <w:p w:rsidR="009D7FFE" w:rsidRDefault="009D7FFE" w:rsidP="00317E0A">
            <w:r>
              <w:t>Waushara, Adams</w:t>
            </w:r>
          </w:p>
        </w:tc>
        <w:tc>
          <w:tcPr>
            <w:tcW w:w="709" w:type="dxa"/>
          </w:tcPr>
          <w:p w:rsidR="009D7FFE" w:rsidRDefault="009D7FFE" w:rsidP="00317E0A"/>
        </w:tc>
        <w:tc>
          <w:tcPr>
            <w:tcW w:w="712" w:type="dxa"/>
          </w:tcPr>
          <w:p w:rsidR="009D7FFE" w:rsidRDefault="009D7FFE" w:rsidP="00317E0A">
            <w:r>
              <w:t>Laura</w:t>
            </w:r>
          </w:p>
        </w:tc>
        <w:tc>
          <w:tcPr>
            <w:tcW w:w="710" w:type="dxa"/>
          </w:tcPr>
          <w:p w:rsidR="009D7FFE" w:rsidRDefault="009D7FFE" w:rsidP="00317E0A"/>
        </w:tc>
      </w:tr>
    </w:tbl>
    <w:p w:rsidR="00FF377D" w:rsidRPr="00317E0A" w:rsidRDefault="00317E0A" w:rsidP="00317E0A">
      <w:pPr>
        <w:rPr>
          <w:b/>
        </w:rPr>
      </w:pPr>
      <w:r w:rsidRPr="00317E0A">
        <w:rPr>
          <w:b/>
        </w:rPr>
        <w:br/>
      </w:r>
      <w:r>
        <w:rPr>
          <w:b/>
        </w:rPr>
        <w:t xml:space="preserve">2.  </w:t>
      </w:r>
      <w:r w:rsidR="00FF377D" w:rsidRPr="00317E0A">
        <w:rPr>
          <w:b/>
        </w:rPr>
        <w:t>Regional CCS Recertification</w:t>
      </w:r>
    </w:p>
    <w:p w:rsidR="00FF377D" w:rsidRDefault="001A0C4F" w:rsidP="00317E0A">
      <w:pPr>
        <w:pStyle w:val="ListParagraph"/>
        <w:numPr>
          <w:ilvl w:val="0"/>
          <w:numId w:val="5"/>
        </w:numPr>
        <w:spacing w:before="80"/>
        <w:ind w:hanging="270"/>
        <w:contextualSpacing w:val="0"/>
      </w:pPr>
      <w:r>
        <w:t xml:space="preserve">Lori is working on the application for the region’s CCS recertification.  She </w:t>
      </w:r>
      <w:r w:rsidR="00DD5935">
        <w:t>be requesting</w:t>
      </w:r>
      <w:r>
        <w:t xml:space="preserve"> information from the Service Directors for the report, and will know more after a conversation with Kenya Bright following this call</w:t>
      </w:r>
    </w:p>
    <w:p w:rsidR="00317E0A" w:rsidRDefault="00317E0A" w:rsidP="00317E0A">
      <w:pPr>
        <w:ind w:left="450" w:hanging="450"/>
        <w:rPr>
          <w:b/>
        </w:rPr>
      </w:pPr>
    </w:p>
    <w:p w:rsidR="001A0C4F" w:rsidRPr="000C6C9A" w:rsidRDefault="001A0C4F" w:rsidP="00317E0A">
      <w:pPr>
        <w:ind w:left="450" w:hanging="450"/>
        <w:rPr>
          <w:b/>
        </w:rPr>
      </w:pPr>
      <w:r w:rsidRPr="000C6C9A">
        <w:rPr>
          <w:b/>
        </w:rPr>
        <w:t>3.  2015 Consumer Satisfaction Survey</w:t>
      </w:r>
    </w:p>
    <w:p w:rsidR="000C6C9A" w:rsidRPr="005509F4" w:rsidRDefault="000C6C9A" w:rsidP="00317E0A">
      <w:pPr>
        <w:spacing w:before="80"/>
        <w:ind w:left="360"/>
        <w:rPr>
          <w:b/>
          <w:i/>
        </w:rPr>
      </w:pPr>
      <w:r w:rsidRPr="005509F4">
        <w:rPr>
          <w:b/>
          <w:i/>
        </w:rPr>
        <w:t>Proposed County Responsibilities:</w:t>
      </w:r>
    </w:p>
    <w:p w:rsidR="000C6C9A" w:rsidRPr="002E0846" w:rsidRDefault="000C6C9A" w:rsidP="00317E0A">
      <w:pPr>
        <w:pStyle w:val="ListParagraph"/>
        <w:numPr>
          <w:ilvl w:val="0"/>
          <w:numId w:val="8"/>
        </w:numPr>
        <w:spacing w:before="80"/>
        <w:ind w:left="1080"/>
        <w:contextualSpacing w:val="0"/>
      </w:pPr>
      <w:r w:rsidRPr="002E0846">
        <w:t>Determine</w:t>
      </w:r>
      <w:r>
        <w:t xml:space="preserve"> eligible consumers </w:t>
      </w:r>
      <w:r w:rsidRPr="002E0846">
        <w:rPr>
          <w:i/>
        </w:rPr>
        <w:t>(consumers involved in CCS for any 6 month period during 2015)</w:t>
      </w:r>
    </w:p>
    <w:p w:rsidR="000C6C9A" w:rsidRDefault="000C6C9A" w:rsidP="00317E0A">
      <w:pPr>
        <w:pStyle w:val="ListParagraph"/>
        <w:numPr>
          <w:ilvl w:val="0"/>
          <w:numId w:val="8"/>
        </w:numPr>
        <w:spacing w:before="80"/>
        <w:ind w:left="1080"/>
        <w:contextualSpacing w:val="0"/>
      </w:pPr>
      <w:r>
        <w:t>Choose an administration method</w:t>
      </w:r>
      <w:r>
        <w:t xml:space="preserve"> (in person, phone interview, or mail)</w:t>
      </w:r>
    </w:p>
    <w:p w:rsidR="000C6C9A" w:rsidRDefault="000C6C9A" w:rsidP="00317E0A">
      <w:pPr>
        <w:pStyle w:val="ListParagraph"/>
        <w:numPr>
          <w:ilvl w:val="1"/>
          <w:numId w:val="8"/>
        </w:numPr>
        <w:spacing w:before="80"/>
        <w:contextualSpacing w:val="0"/>
      </w:pPr>
      <w:r>
        <w:t>Discussed “in person” as the preferred method.  May not be possible for sites this year, but may be a goal for 2016.</w:t>
      </w:r>
    </w:p>
    <w:p w:rsidR="000C6C9A" w:rsidRDefault="000C6C9A" w:rsidP="00317E0A">
      <w:pPr>
        <w:pStyle w:val="ListParagraph"/>
        <w:numPr>
          <w:ilvl w:val="0"/>
          <w:numId w:val="8"/>
        </w:numPr>
        <w:spacing w:before="80"/>
        <w:ind w:left="1080"/>
        <w:contextualSpacing w:val="0"/>
      </w:pPr>
      <w:r>
        <w:t xml:space="preserve">Preparation - for example, if “in-person” or “phone”, train the individuals who will be meeting or talking with the consumers.  If “mail”, prepare/customize cover letter.  </w:t>
      </w:r>
    </w:p>
    <w:p w:rsidR="000C6C9A" w:rsidRDefault="000C6C9A" w:rsidP="00317E0A">
      <w:pPr>
        <w:pStyle w:val="ListParagraph"/>
        <w:numPr>
          <w:ilvl w:val="0"/>
          <w:numId w:val="8"/>
        </w:numPr>
        <w:spacing w:before="80"/>
        <w:ind w:left="1080"/>
        <w:contextualSpacing w:val="0"/>
      </w:pPr>
      <w:r>
        <w:t xml:space="preserve">Collect the information – determine anonymous/confidential way to collect the completed surveys, e.g. mail to neutral party </w:t>
      </w:r>
    </w:p>
    <w:p w:rsidR="000C6C9A" w:rsidRDefault="000C6C9A" w:rsidP="00317E0A">
      <w:pPr>
        <w:pStyle w:val="ListParagraph"/>
        <w:numPr>
          <w:ilvl w:val="1"/>
          <w:numId w:val="8"/>
        </w:numPr>
        <w:spacing w:before="80"/>
        <w:contextualSpacing w:val="0"/>
      </w:pPr>
      <w:r>
        <w:t>Discussed process for submitting the surveys or survey data to White Pine.  One option is to have consumers mail completed surveys back to White Pine.  Lori will send White Pine’s mailing address to the group along with a sentence or two describing who “White Pine” is.</w:t>
      </w:r>
    </w:p>
    <w:p w:rsidR="00317E0A" w:rsidRDefault="00317E0A">
      <w:pPr>
        <w:spacing w:after="160" w:line="259" w:lineRule="auto"/>
        <w:rPr>
          <w:b/>
          <w:i/>
        </w:rPr>
      </w:pPr>
      <w:r>
        <w:rPr>
          <w:b/>
          <w:i/>
        </w:rPr>
        <w:br w:type="page"/>
      </w:r>
    </w:p>
    <w:p w:rsidR="00317E0A" w:rsidRDefault="00317E0A" w:rsidP="00317E0A">
      <w:pPr>
        <w:spacing w:before="80"/>
        <w:ind w:left="360"/>
        <w:rPr>
          <w:b/>
          <w:i/>
        </w:rPr>
      </w:pPr>
    </w:p>
    <w:p w:rsidR="000C6C9A" w:rsidRPr="005509F4" w:rsidRDefault="000C6C9A" w:rsidP="00317E0A">
      <w:pPr>
        <w:spacing w:before="80"/>
        <w:ind w:left="360"/>
        <w:rPr>
          <w:b/>
          <w:i/>
        </w:rPr>
      </w:pPr>
      <w:r w:rsidRPr="005509F4">
        <w:rPr>
          <w:b/>
          <w:i/>
        </w:rPr>
        <w:t>Proposed White Pine Role/Responsibilities:</w:t>
      </w:r>
    </w:p>
    <w:p w:rsidR="000C6C9A" w:rsidRDefault="000C6C9A" w:rsidP="00317E0A">
      <w:pPr>
        <w:pStyle w:val="ListParagraph"/>
        <w:numPr>
          <w:ilvl w:val="0"/>
          <w:numId w:val="8"/>
        </w:numPr>
        <w:spacing w:before="80"/>
        <w:ind w:left="1080"/>
        <w:contextualSpacing w:val="0"/>
      </w:pPr>
      <w:r>
        <w:t>Data entry from individual surveys into state-provided spreadsheets for each county</w:t>
      </w:r>
    </w:p>
    <w:p w:rsidR="000C6C9A" w:rsidRDefault="000C6C9A" w:rsidP="00317E0A">
      <w:pPr>
        <w:pStyle w:val="ListParagraph"/>
        <w:numPr>
          <w:ilvl w:val="0"/>
          <w:numId w:val="8"/>
        </w:numPr>
        <w:spacing w:before="80"/>
        <w:ind w:left="1080"/>
        <w:contextualSpacing w:val="0"/>
      </w:pPr>
      <w:r>
        <w:t>Data submission (for each county) to state by November 30</w:t>
      </w:r>
      <w:r w:rsidRPr="000224A1">
        <w:rPr>
          <w:vertAlign w:val="superscript"/>
        </w:rPr>
        <w:t>th</w:t>
      </w:r>
      <w:r>
        <w:t>, 2015</w:t>
      </w:r>
    </w:p>
    <w:p w:rsidR="000C6C9A" w:rsidRDefault="000C6C9A" w:rsidP="00317E0A">
      <w:pPr>
        <w:pStyle w:val="ListParagraph"/>
        <w:numPr>
          <w:ilvl w:val="0"/>
          <w:numId w:val="8"/>
        </w:numPr>
        <w:spacing w:before="80"/>
        <w:ind w:left="1080"/>
        <w:contextualSpacing w:val="0"/>
      </w:pPr>
      <w:r>
        <w:t>Collate county-specific and regional results to provide to individual counties, the Regional Coordinating Committee, and the Quality Improvement Subcommittee</w:t>
      </w:r>
    </w:p>
    <w:p w:rsidR="000C6C9A" w:rsidRDefault="000C6C9A" w:rsidP="00317E0A">
      <w:pPr>
        <w:pStyle w:val="ListParagraph"/>
        <w:numPr>
          <w:ilvl w:val="0"/>
          <w:numId w:val="8"/>
        </w:numPr>
        <w:spacing w:before="80"/>
        <w:ind w:left="1080"/>
        <w:contextualSpacing w:val="0"/>
      </w:pPr>
      <w:r>
        <w:t>Additional items discussed</w:t>
      </w:r>
    </w:p>
    <w:p w:rsidR="000C6C9A" w:rsidRDefault="000C6C9A" w:rsidP="00317E0A">
      <w:pPr>
        <w:pStyle w:val="ListParagraph"/>
        <w:numPr>
          <w:ilvl w:val="1"/>
          <w:numId w:val="8"/>
        </w:numPr>
        <w:spacing w:before="80"/>
        <w:contextualSpacing w:val="0"/>
      </w:pPr>
      <w:r>
        <w:t xml:space="preserve">Laura requested collection of the following from each site: method used to distribute surveys, number of surveys sent, and number of surveys returned.  </w:t>
      </w:r>
    </w:p>
    <w:p w:rsidR="000C6C9A" w:rsidRPr="005509F4" w:rsidRDefault="000C6C9A" w:rsidP="00317E0A">
      <w:pPr>
        <w:spacing w:before="80"/>
        <w:ind w:left="360"/>
        <w:rPr>
          <w:b/>
          <w:i/>
        </w:rPr>
      </w:pPr>
      <w:r w:rsidRPr="005509F4">
        <w:rPr>
          <w:b/>
          <w:i/>
        </w:rPr>
        <w:t>Future discussion for QI Committee (for 2016 surveys?)</w:t>
      </w:r>
    </w:p>
    <w:p w:rsidR="000C6C9A" w:rsidRDefault="000C6C9A" w:rsidP="00317E0A">
      <w:pPr>
        <w:pStyle w:val="ListParagraph"/>
        <w:numPr>
          <w:ilvl w:val="0"/>
          <w:numId w:val="7"/>
        </w:numPr>
        <w:spacing w:before="80"/>
        <w:ind w:left="1080"/>
        <w:contextualSpacing w:val="0"/>
      </w:pPr>
      <w:r>
        <w:t>Review of 2015 survey process and experiences – what worked well, what didn’t?</w:t>
      </w:r>
    </w:p>
    <w:p w:rsidR="000C6C9A" w:rsidRDefault="000C6C9A" w:rsidP="00317E0A">
      <w:pPr>
        <w:pStyle w:val="ListParagraph"/>
        <w:numPr>
          <w:ilvl w:val="0"/>
          <w:numId w:val="7"/>
        </w:numPr>
        <w:spacing w:before="80"/>
        <w:ind w:left="1080"/>
        <w:contextualSpacing w:val="0"/>
      </w:pPr>
      <w:r>
        <w:t xml:space="preserve">How can we improve consistency across counties in our region?                                              </w:t>
      </w:r>
    </w:p>
    <w:p w:rsidR="000C6C9A" w:rsidRDefault="000C6C9A" w:rsidP="00317E0A">
      <w:pPr>
        <w:pStyle w:val="ListParagraph"/>
        <w:numPr>
          <w:ilvl w:val="0"/>
          <w:numId w:val="7"/>
        </w:numPr>
        <w:spacing w:before="80"/>
        <w:ind w:left="1080"/>
        <w:contextualSpacing w:val="0"/>
      </w:pPr>
      <w:r>
        <w:t>What other aspects of the process can be coordinated by the CCS regional coordinators?</w:t>
      </w:r>
    </w:p>
    <w:p w:rsidR="000C6C9A" w:rsidRDefault="000C6C9A" w:rsidP="00317E0A">
      <w:pPr>
        <w:pStyle w:val="ListParagraph"/>
        <w:numPr>
          <w:ilvl w:val="1"/>
          <w:numId w:val="7"/>
        </w:numPr>
        <w:spacing w:before="80"/>
        <w:contextualSpacing w:val="0"/>
      </w:pPr>
      <w:r>
        <w:t>Regional cadre of consumers/peer specialists who can be available to all partner counties (consistent/coordinated training)</w:t>
      </w:r>
    </w:p>
    <w:p w:rsidR="000C6C9A" w:rsidRDefault="000C6C9A" w:rsidP="00317E0A">
      <w:pPr>
        <w:pStyle w:val="ListParagraph"/>
        <w:numPr>
          <w:ilvl w:val="1"/>
          <w:numId w:val="7"/>
        </w:numPr>
        <w:spacing w:before="80"/>
        <w:contextualSpacing w:val="0"/>
      </w:pPr>
      <w:r>
        <w:t>Central person(s) or location for consumers to call with questions</w:t>
      </w:r>
    </w:p>
    <w:p w:rsidR="000C6C9A" w:rsidRDefault="000C6C9A" w:rsidP="00317E0A">
      <w:pPr>
        <w:pStyle w:val="ListParagraph"/>
        <w:numPr>
          <w:ilvl w:val="0"/>
          <w:numId w:val="7"/>
        </w:numPr>
        <w:spacing w:before="80"/>
        <w:ind w:left="1170"/>
        <w:contextualSpacing w:val="0"/>
      </w:pPr>
      <w:r>
        <w:t xml:space="preserve">Additional data requirements including PPS data and quarterly reporting </w:t>
      </w:r>
    </w:p>
    <w:sectPr w:rsidR="000C6C9A" w:rsidSect="00317E0A">
      <w:footerReference w:type="default" r:id="rId7"/>
      <w:pgSz w:w="12240" w:h="15840"/>
      <w:pgMar w:top="1152" w:right="1152" w:bottom="864" w:left="1152" w:header="720" w:footer="8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229" w:rsidRDefault="00C76229" w:rsidP="00317E0A">
      <w:r>
        <w:separator/>
      </w:r>
    </w:p>
  </w:endnote>
  <w:endnote w:type="continuationSeparator" w:id="0">
    <w:p w:rsidR="00C76229" w:rsidRDefault="00C76229" w:rsidP="0031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0A" w:rsidRPr="00317E0A" w:rsidRDefault="00317E0A" w:rsidP="00317E0A">
    <w:pPr>
      <w:pStyle w:val="Footer"/>
      <w:jc w:val="center"/>
      <w:rPr>
        <w:sz w:val="20"/>
      </w:rPr>
    </w:pPr>
    <w:r w:rsidRPr="00317E0A">
      <w:rPr>
        <w:sz w:val="20"/>
      </w:rPr>
      <w:fldChar w:fldCharType="begin"/>
    </w:r>
    <w:r w:rsidRPr="00317E0A">
      <w:rPr>
        <w:sz w:val="20"/>
      </w:rPr>
      <w:instrText xml:space="preserve"> PAGE   \* MERGEFORMAT </w:instrText>
    </w:r>
    <w:r w:rsidRPr="00317E0A">
      <w:rPr>
        <w:sz w:val="20"/>
      </w:rPr>
      <w:fldChar w:fldCharType="separate"/>
    </w:r>
    <w:r>
      <w:rPr>
        <w:noProof/>
        <w:sz w:val="20"/>
      </w:rPr>
      <w:t>2</w:t>
    </w:r>
    <w:r w:rsidRPr="00317E0A">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229" w:rsidRDefault="00C76229" w:rsidP="00317E0A">
      <w:r>
        <w:separator/>
      </w:r>
    </w:p>
  </w:footnote>
  <w:footnote w:type="continuationSeparator" w:id="0">
    <w:p w:rsidR="00C76229" w:rsidRDefault="00C76229" w:rsidP="00317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64487"/>
    <w:multiLevelType w:val="hybridMultilevel"/>
    <w:tmpl w:val="6F72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35777"/>
    <w:multiLevelType w:val="hybridMultilevel"/>
    <w:tmpl w:val="F136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F0867"/>
    <w:multiLevelType w:val="hybridMultilevel"/>
    <w:tmpl w:val="D83894FE"/>
    <w:lvl w:ilvl="0" w:tplc="68308F2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74902"/>
    <w:multiLevelType w:val="multilevel"/>
    <w:tmpl w:val="1EECCE06"/>
    <w:lvl w:ilvl="0">
      <w:start w:val="9"/>
      <w:numFmt w:val="decimal"/>
      <w:lvlText w:val="%1"/>
      <w:lvlJc w:val="left"/>
      <w:pPr>
        <w:ind w:left="684" w:hanging="684"/>
      </w:pPr>
      <w:rPr>
        <w:rFonts w:hint="default"/>
      </w:rPr>
    </w:lvl>
    <w:lvl w:ilvl="1">
      <w:start w:val="30"/>
      <w:numFmt w:val="decimal"/>
      <w:lvlText w:val="%1-%2"/>
      <w:lvlJc w:val="left"/>
      <w:pPr>
        <w:ind w:left="684" w:hanging="684"/>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13E07B0"/>
    <w:multiLevelType w:val="hybridMultilevel"/>
    <w:tmpl w:val="4626A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9771B"/>
    <w:multiLevelType w:val="hybridMultilevel"/>
    <w:tmpl w:val="2D323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E729E"/>
    <w:multiLevelType w:val="hybridMultilevel"/>
    <w:tmpl w:val="13C02C7C"/>
    <w:lvl w:ilvl="0" w:tplc="F2BCBF9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8B685F"/>
    <w:multiLevelType w:val="hybridMultilevel"/>
    <w:tmpl w:val="E392E4CE"/>
    <w:lvl w:ilvl="0" w:tplc="3BDE407A">
      <w:start w:val="1"/>
      <w:numFmt w:val="decimal"/>
      <w:lvlText w:val="%1."/>
      <w:lvlJc w:val="left"/>
      <w:pPr>
        <w:ind w:left="720" w:hanging="360"/>
      </w:pPr>
      <w:rPr>
        <w:rFonts w:hint="default"/>
        <w:caps w:val="0"/>
        <w:strike w:val="0"/>
        <w:dstrike w:val="0"/>
        <w:vanish w:val="0"/>
        <w:u w:val="none"/>
        <w:vertAlign w:val="base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7D"/>
    <w:rsid w:val="000C6C9A"/>
    <w:rsid w:val="001A0C4F"/>
    <w:rsid w:val="002A276C"/>
    <w:rsid w:val="00317E0A"/>
    <w:rsid w:val="00494E00"/>
    <w:rsid w:val="00690257"/>
    <w:rsid w:val="009D7FFE"/>
    <w:rsid w:val="00A606DC"/>
    <w:rsid w:val="00A62ACC"/>
    <w:rsid w:val="00C76229"/>
    <w:rsid w:val="00CC142A"/>
    <w:rsid w:val="00D121C2"/>
    <w:rsid w:val="00DD5935"/>
    <w:rsid w:val="00FF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A9F86F-F13E-4DBF-BF32-C6526A1F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1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34"/>
    <w:qFormat/>
    <w:rsid w:val="00FF377D"/>
    <w:pPr>
      <w:ind w:left="720"/>
      <w:contextualSpacing/>
    </w:pPr>
  </w:style>
  <w:style w:type="paragraph" w:styleId="BalloonText">
    <w:name w:val="Balloon Text"/>
    <w:basedOn w:val="Normal"/>
    <w:link w:val="BalloonTextChar"/>
    <w:uiPriority w:val="99"/>
    <w:semiHidden/>
    <w:unhideWhenUsed/>
    <w:rsid w:val="00FF37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77D"/>
    <w:rPr>
      <w:rFonts w:ascii="Segoe UI" w:hAnsi="Segoe UI" w:cs="Segoe UI"/>
      <w:sz w:val="18"/>
      <w:szCs w:val="18"/>
    </w:rPr>
  </w:style>
  <w:style w:type="table" w:styleId="TableGrid">
    <w:name w:val="Table Grid"/>
    <w:basedOn w:val="TableNormal"/>
    <w:uiPriority w:val="39"/>
    <w:rsid w:val="009D7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E0A"/>
    <w:pPr>
      <w:tabs>
        <w:tab w:val="center" w:pos="4680"/>
        <w:tab w:val="right" w:pos="9360"/>
      </w:tabs>
    </w:pPr>
  </w:style>
  <w:style w:type="character" w:customStyle="1" w:styleId="HeaderChar">
    <w:name w:val="Header Char"/>
    <w:basedOn w:val="DefaultParagraphFont"/>
    <w:link w:val="Header"/>
    <w:uiPriority w:val="99"/>
    <w:rsid w:val="00317E0A"/>
  </w:style>
  <w:style w:type="paragraph" w:styleId="Footer">
    <w:name w:val="footer"/>
    <w:basedOn w:val="Normal"/>
    <w:link w:val="FooterChar"/>
    <w:uiPriority w:val="99"/>
    <w:unhideWhenUsed/>
    <w:rsid w:val="00317E0A"/>
    <w:pPr>
      <w:tabs>
        <w:tab w:val="center" w:pos="4680"/>
        <w:tab w:val="right" w:pos="9360"/>
      </w:tabs>
    </w:pPr>
  </w:style>
  <w:style w:type="character" w:customStyle="1" w:styleId="FooterChar">
    <w:name w:val="Footer Char"/>
    <w:basedOn w:val="DefaultParagraphFont"/>
    <w:link w:val="Footer"/>
    <w:uiPriority w:val="99"/>
    <w:rsid w:val="00317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6</cp:revision>
  <cp:lastPrinted>2015-09-30T17:17:00Z</cp:lastPrinted>
  <dcterms:created xsi:type="dcterms:W3CDTF">2015-09-30T14:03:00Z</dcterms:created>
  <dcterms:modified xsi:type="dcterms:W3CDTF">2015-10-06T18:22:00Z</dcterms:modified>
</cp:coreProperties>
</file>