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6AF7A" w14:textId="77777777" w:rsidR="00182870" w:rsidRPr="003C5F3B" w:rsidRDefault="00182870" w:rsidP="00182870">
      <w:pPr>
        <w:jc w:val="center"/>
        <w:rPr>
          <w:sz w:val="10"/>
        </w:rPr>
      </w:pPr>
      <w:bookmarkStart w:id="0" w:name="_GoBack"/>
      <w:bookmarkEnd w:id="0"/>
      <w:r w:rsidRPr="003C5F3B">
        <w:rPr>
          <w:b/>
          <w:sz w:val="24"/>
        </w:rPr>
        <w:t xml:space="preserve">Comprehensive Community Services (CCS) </w:t>
      </w:r>
      <w:r>
        <w:rPr>
          <w:b/>
          <w:sz w:val="24"/>
        </w:rPr>
        <w:t xml:space="preserve">Comprehensive </w:t>
      </w:r>
      <w:r w:rsidRPr="003C5F3B">
        <w:rPr>
          <w:b/>
          <w:sz w:val="24"/>
        </w:rPr>
        <w:t>Assessment</w:t>
      </w:r>
      <w:r>
        <w:rPr>
          <w:b/>
          <w:sz w:val="24"/>
        </w:rPr>
        <w:t xml:space="preserve"> Summary</w:t>
      </w:r>
    </w:p>
    <w:p w14:paraId="6C934797" w14:textId="56D49AD0" w:rsidR="001F1B60" w:rsidRPr="00182870" w:rsidRDefault="00196E46" w:rsidP="00182870">
      <w:pPr>
        <w:jc w:val="center"/>
        <w:rPr>
          <w:b/>
          <w:bCs/>
          <w:sz w:val="24"/>
          <w:szCs w:val="24"/>
        </w:rPr>
      </w:pPr>
      <w:r w:rsidRPr="00182870">
        <w:rPr>
          <w:b/>
          <w:bCs/>
          <w:sz w:val="24"/>
          <w:szCs w:val="24"/>
        </w:rPr>
        <w:t>Companion Document</w:t>
      </w:r>
    </w:p>
    <w:p w14:paraId="6B02777F" w14:textId="2FE593D0" w:rsidR="00196E46" w:rsidRDefault="00196E46"/>
    <w:p w14:paraId="584A3AF2" w14:textId="02A5B65C" w:rsidR="00196E46" w:rsidRDefault="00196E46">
      <w:r>
        <w:t xml:space="preserve">Each section </w:t>
      </w:r>
      <w:r w:rsidR="00182870">
        <w:t xml:space="preserve">of the Assessment Summary document </w:t>
      </w:r>
      <w:r>
        <w:t xml:space="preserve">includes a “Domain Narrative” section.  Use this area to reflect the consumer’s story – what’s going well, what’s not going well?  When things are going well, what does it look like?  What services or interventions have been tried in the past that work?  </w:t>
      </w:r>
      <w:r w:rsidR="00182870">
        <w:t>What</w:t>
      </w:r>
      <w:r>
        <w:t xml:space="preserve"> didn’t work?  </w:t>
      </w:r>
      <w:r w:rsidR="00182870">
        <w:t>What</w:t>
      </w:r>
      <w:r>
        <w:t xml:space="preserve"> partially worked?  Are there services and supports the consumer or family feel would help them in this area?</w:t>
      </w:r>
      <w:r w:rsidR="000767C4">
        <w:t xml:space="preserve">  Are there any age or </w:t>
      </w:r>
      <w:r w:rsidR="001D0CC8">
        <w:t>developmental</w:t>
      </w:r>
      <w:r w:rsidR="000767C4">
        <w:t xml:space="preserve"> factors that may affect reaching the consumer’s goals or priorities in this domain?</w:t>
      </w:r>
    </w:p>
    <w:p w14:paraId="39162F2A" w14:textId="231C207F" w:rsidR="001D0CC8" w:rsidRDefault="001D0CC8"/>
    <w:p w14:paraId="0917717F" w14:textId="5295F673" w:rsidR="001D0CC8" w:rsidRDefault="001D0CC8">
      <w:r>
        <w:t>In addition to the strengths and needs of the consumer, also consider the strengths and needs of family members, especially if the consumer is a minor.</w:t>
      </w:r>
    </w:p>
    <w:p w14:paraId="28627F53" w14:textId="2A518DA3" w:rsidR="00196E46" w:rsidRDefault="00196E46"/>
    <w:p w14:paraId="15B3721F" w14:textId="2BE97608" w:rsidR="00182870" w:rsidRDefault="00182870">
      <w:r>
        <w:t xml:space="preserve">Following are areas that may be explored in each domain.  This is not meant to be an all-inclusive list, rather points of discussion to consider.  </w:t>
      </w:r>
    </w:p>
    <w:p w14:paraId="23C334D4" w14:textId="77777777" w:rsidR="00182870" w:rsidRDefault="00182870"/>
    <w:p w14:paraId="53D75375" w14:textId="44C3094B" w:rsidR="00196E46" w:rsidRPr="00244A4B" w:rsidRDefault="00196E46">
      <w:pPr>
        <w:rPr>
          <w:b/>
          <w:bCs/>
        </w:rPr>
      </w:pPr>
      <w:r w:rsidRPr="00244A4B">
        <w:rPr>
          <w:b/>
          <w:bCs/>
        </w:rPr>
        <w:t>Life Satisfaction</w:t>
      </w:r>
    </w:p>
    <w:p w14:paraId="78D8958B" w14:textId="77777777" w:rsidR="00244A4B" w:rsidRDefault="000767C4" w:rsidP="00244A4B">
      <w:pPr>
        <w:spacing w:before="60" w:after="60"/>
        <w:ind w:firstLine="360"/>
      </w:pPr>
      <w:r>
        <w:t xml:space="preserve">Explore </w:t>
      </w:r>
    </w:p>
    <w:p w14:paraId="7B83B59E" w14:textId="6C7F4239" w:rsidR="000767C4" w:rsidRDefault="00244A4B" w:rsidP="00244A4B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</w:t>
      </w:r>
      <w:r w:rsidR="000767C4">
        <w:t>hat a good day looks like; what makes a day “good”</w:t>
      </w:r>
    </w:p>
    <w:p w14:paraId="50AC850B" w14:textId="345C3838" w:rsidR="000767C4" w:rsidRDefault="00244A4B" w:rsidP="00244A4B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</w:t>
      </w:r>
      <w:r w:rsidR="000767C4">
        <w:t>hat a bad day look like; what makes a day “bad”</w:t>
      </w:r>
    </w:p>
    <w:p w14:paraId="7F0B89A2" w14:textId="3561B41E" w:rsidR="00244A4B" w:rsidRDefault="00244A4B" w:rsidP="00244A4B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What the person likes about themselves</w:t>
      </w:r>
      <w:r w:rsidR="00182870">
        <w:t xml:space="preserve"> and their life</w:t>
      </w:r>
      <w:r>
        <w:t xml:space="preserve"> (and what they don’t)</w:t>
      </w:r>
    </w:p>
    <w:p w14:paraId="0047B673" w14:textId="0FE0E3AC" w:rsidR="00182870" w:rsidRDefault="00182870" w:rsidP="00244A4B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What the person would change if they could</w:t>
      </w:r>
    </w:p>
    <w:p w14:paraId="63069C70" w14:textId="0FAC4DA1" w:rsidR="00196E46" w:rsidRDefault="00196E46"/>
    <w:p w14:paraId="602AE444" w14:textId="4D8533B5" w:rsidR="00196E46" w:rsidRPr="00244A4B" w:rsidRDefault="00196E46" w:rsidP="00244A4B">
      <w:pPr>
        <w:rPr>
          <w:b/>
          <w:bCs/>
        </w:rPr>
      </w:pPr>
      <w:r w:rsidRPr="00244A4B">
        <w:rPr>
          <w:b/>
          <w:bCs/>
        </w:rPr>
        <w:t>Basic Needs</w:t>
      </w:r>
    </w:p>
    <w:p w14:paraId="556741EA" w14:textId="77777777" w:rsidR="00244A4B" w:rsidRDefault="00196E46" w:rsidP="00244A4B">
      <w:pPr>
        <w:spacing w:before="60" w:after="60"/>
        <w:ind w:firstLine="360"/>
      </w:pPr>
      <w:r>
        <w:t xml:space="preserve">Explore </w:t>
      </w:r>
    </w:p>
    <w:p w14:paraId="21E06342" w14:textId="1A063FD2" w:rsidR="000767C4" w:rsidRDefault="00244A4B" w:rsidP="00244A4B">
      <w:pPr>
        <w:pStyle w:val="ListParagraph"/>
        <w:numPr>
          <w:ilvl w:val="0"/>
          <w:numId w:val="4"/>
        </w:numPr>
        <w:spacing w:before="60" w:after="60"/>
        <w:ind w:left="720"/>
        <w:contextualSpacing w:val="0"/>
      </w:pPr>
      <w:r>
        <w:t>B</w:t>
      </w:r>
      <w:r w:rsidR="00196E46">
        <w:t xml:space="preserve">asic needs such as food, shelter, clothing, </w:t>
      </w:r>
      <w:r w:rsidR="000767C4">
        <w:t>safety</w:t>
      </w:r>
      <w:r w:rsidR="00665057">
        <w:t>, and transportation</w:t>
      </w:r>
    </w:p>
    <w:p w14:paraId="7CCB25C4" w14:textId="464911D8" w:rsidR="00244A4B" w:rsidRDefault="00244A4B" w:rsidP="00244A4B">
      <w:pPr>
        <w:pStyle w:val="ListParagraph"/>
        <w:numPr>
          <w:ilvl w:val="0"/>
          <w:numId w:val="4"/>
        </w:numPr>
        <w:spacing w:before="60" w:after="60"/>
        <w:ind w:left="720"/>
        <w:contextualSpacing w:val="0"/>
      </w:pPr>
      <w:r>
        <w:t>Met and unmet needs</w:t>
      </w:r>
    </w:p>
    <w:p w14:paraId="7C3E727E" w14:textId="76ACB926" w:rsidR="00244A4B" w:rsidRDefault="00244A4B" w:rsidP="00244A4B">
      <w:pPr>
        <w:pStyle w:val="ListParagraph"/>
        <w:numPr>
          <w:ilvl w:val="0"/>
          <w:numId w:val="4"/>
        </w:numPr>
        <w:spacing w:before="60" w:after="60"/>
        <w:ind w:left="720"/>
        <w:contextualSpacing w:val="0"/>
      </w:pPr>
      <w:r>
        <w:t>Access to support getting needs met</w:t>
      </w:r>
    </w:p>
    <w:p w14:paraId="0A8DB256" w14:textId="78FF3AA5" w:rsidR="000767C4" w:rsidRDefault="000767C4"/>
    <w:p w14:paraId="7279CEFD" w14:textId="2BEBD678" w:rsidR="000767C4" w:rsidRPr="00244A4B" w:rsidRDefault="000767C4">
      <w:pPr>
        <w:rPr>
          <w:b/>
          <w:bCs/>
        </w:rPr>
      </w:pPr>
      <w:r w:rsidRPr="00244A4B">
        <w:rPr>
          <w:b/>
          <w:bCs/>
        </w:rPr>
        <w:t>Social Network and Family Involvement</w:t>
      </w:r>
    </w:p>
    <w:p w14:paraId="0A073657" w14:textId="62526982" w:rsidR="000767C4" w:rsidRDefault="000767C4" w:rsidP="00244A4B">
      <w:pPr>
        <w:spacing w:before="60" w:after="60"/>
        <w:ind w:firstLine="360"/>
      </w:pPr>
      <w:r>
        <w:t>Explor</w:t>
      </w:r>
      <w:r w:rsidR="00244A4B">
        <w:t>e</w:t>
      </w:r>
    </w:p>
    <w:p w14:paraId="01A5AEE6" w14:textId="0F21B2F5" w:rsidR="000767C4" w:rsidRDefault="000767C4" w:rsidP="00244A4B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 xml:space="preserve">Who is supportive of the consumer </w:t>
      </w:r>
      <w:r w:rsidRPr="000767C4">
        <w:t>(e.g. friends, neighbors, colleagues at work, religious/spiritual community, other cultural or environmental supports)</w:t>
      </w:r>
    </w:p>
    <w:p w14:paraId="1F384389" w14:textId="77777777" w:rsidR="00244A4B" w:rsidRDefault="00244A4B" w:rsidP="00244A4B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W</w:t>
      </w:r>
      <w:r w:rsidR="000767C4">
        <w:t>ho do they get along with</w:t>
      </w:r>
    </w:p>
    <w:p w14:paraId="79D5FC97" w14:textId="77777777" w:rsidR="00244A4B" w:rsidRDefault="00244A4B" w:rsidP="00244A4B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W</w:t>
      </w:r>
      <w:r w:rsidR="000767C4">
        <w:t>ho don’t they get along with</w:t>
      </w:r>
    </w:p>
    <w:p w14:paraId="5D93EFAE" w14:textId="6941FACE" w:rsidR="00244A4B" w:rsidRDefault="00244A4B" w:rsidP="00244A4B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Cultural or</w:t>
      </w:r>
      <w:r w:rsidR="000767C4" w:rsidRPr="000767C4">
        <w:t xml:space="preserve"> language barriers </w:t>
      </w:r>
      <w:r w:rsidR="000767C4">
        <w:t>to social involvement</w:t>
      </w:r>
    </w:p>
    <w:p w14:paraId="233FB084" w14:textId="2BDD1B14" w:rsidR="00244A4B" w:rsidRDefault="00244A4B" w:rsidP="00244A4B">
      <w:pPr>
        <w:pStyle w:val="ListParagraph"/>
        <w:numPr>
          <w:ilvl w:val="0"/>
          <w:numId w:val="2"/>
        </w:numPr>
        <w:spacing w:before="60" w:after="60"/>
        <w:contextualSpacing w:val="0"/>
      </w:pPr>
      <w:r>
        <w:t>Significant individual or family cultural practices such as traditions, holidays, and spiritual practices</w:t>
      </w:r>
    </w:p>
    <w:p w14:paraId="2B71FDAB" w14:textId="4F1D54F3" w:rsidR="000767C4" w:rsidRDefault="000767C4"/>
    <w:p w14:paraId="3350D83A" w14:textId="3BBCF35D" w:rsidR="000767C4" w:rsidRPr="00244A4B" w:rsidRDefault="000767C4">
      <w:pPr>
        <w:rPr>
          <w:b/>
          <w:bCs/>
        </w:rPr>
      </w:pPr>
      <w:r w:rsidRPr="00244A4B">
        <w:rPr>
          <w:b/>
          <w:bCs/>
        </w:rPr>
        <w:t>Community Living Skills</w:t>
      </w:r>
    </w:p>
    <w:p w14:paraId="5AD0F965" w14:textId="620B9FB6" w:rsidR="00665057" w:rsidRDefault="00665057" w:rsidP="00244A4B">
      <w:pPr>
        <w:spacing w:before="60" w:after="60"/>
        <w:ind w:left="360"/>
      </w:pPr>
      <w:r>
        <w:t>R</w:t>
      </w:r>
      <w:r w:rsidRPr="00665057">
        <w:t>efer to the following sections of the consumer’s Functional Eligibility Screen</w:t>
      </w:r>
      <w:r>
        <w:t xml:space="preserve"> as a reference</w:t>
      </w:r>
      <w:r w:rsidRPr="00665057">
        <w:t xml:space="preserve">:  Community Living Skills Inventory for an adult consumer, or Activities of Daily Living Skills and Instrumental Activities of Daily Living sections for a youth consumer. </w:t>
      </w:r>
    </w:p>
    <w:p w14:paraId="6509C5C6" w14:textId="53ADE1F5" w:rsidR="006474BD" w:rsidRDefault="00665057" w:rsidP="006474BD">
      <w:pPr>
        <w:spacing w:before="60" w:after="60"/>
        <w:ind w:left="360"/>
      </w:pPr>
      <w:r>
        <w:t>Explore topics such as</w:t>
      </w:r>
      <w:r w:rsidR="006474BD">
        <w:t>:</w:t>
      </w:r>
      <w:r>
        <w:t xml:space="preserve"> money management, shopping, meal preparation, cooking, apartment/house upkeep, laundry skills, and personal hygiene. </w:t>
      </w:r>
    </w:p>
    <w:p w14:paraId="592B80FF" w14:textId="7500AB39" w:rsidR="00665057" w:rsidRDefault="00665057"/>
    <w:p w14:paraId="35B59BD3" w14:textId="71C38E62" w:rsidR="00665057" w:rsidRPr="00244A4B" w:rsidRDefault="00665057">
      <w:pPr>
        <w:rPr>
          <w:b/>
          <w:bCs/>
        </w:rPr>
      </w:pPr>
      <w:r w:rsidRPr="00244A4B">
        <w:rPr>
          <w:b/>
          <w:bCs/>
        </w:rPr>
        <w:lastRenderedPageBreak/>
        <w:t>Housing</w:t>
      </w:r>
    </w:p>
    <w:p w14:paraId="763A3A56" w14:textId="6F732A10" w:rsidR="00665057" w:rsidRDefault="00665057" w:rsidP="00244A4B">
      <w:pPr>
        <w:spacing w:before="60" w:after="60"/>
        <w:ind w:left="360"/>
      </w:pPr>
      <w:r>
        <w:t>R</w:t>
      </w:r>
      <w:r w:rsidRPr="00665057">
        <w:t>efer to the Living Situation section of the consumer’s Functional Eligibility Screen</w:t>
      </w:r>
      <w:r>
        <w:t xml:space="preserve"> as a </w:t>
      </w:r>
      <w:r w:rsidR="001D0CC8">
        <w:t>resource</w:t>
      </w:r>
      <w:r w:rsidRPr="00665057">
        <w:t xml:space="preserve">.  </w:t>
      </w:r>
    </w:p>
    <w:p w14:paraId="4BAD167B" w14:textId="77777777" w:rsidR="00244A4B" w:rsidRDefault="00665057" w:rsidP="00244A4B">
      <w:pPr>
        <w:spacing w:before="60" w:after="60"/>
        <w:ind w:left="360"/>
      </w:pPr>
      <w:r>
        <w:t>Explore</w:t>
      </w:r>
      <w:r w:rsidR="00244A4B">
        <w:t>:</w:t>
      </w:r>
    </w:p>
    <w:p w14:paraId="2F115611" w14:textId="0B7CFF83" w:rsidR="006474BD" w:rsidRDefault="006474BD" w:rsidP="00244A4B">
      <w:pPr>
        <w:pStyle w:val="ListParagraph"/>
        <w:numPr>
          <w:ilvl w:val="0"/>
          <w:numId w:val="3"/>
        </w:numPr>
        <w:spacing w:before="60" w:after="60"/>
        <w:contextualSpacing w:val="0"/>
      </w:pPr>
      <w:r>
        <w:t>Current situation – rent, own, living by self, living with others</w:t>
      </w:r>
    </w:p>
    <w:p w14:paraId="19E21D94" w14:textId="239BE79E" w:rsidR="00665057" w:rsidRDefault="00244A4B" w:rsidP="00244A4B">
      <w:pPr>
        <w:pStyle w:val="ListParagraph"/>
        <w:numPr>
          <w:ilvl w:val="0"/>
          <w:numId w:val="3"/>
        </w:numPr>
        <w:spacing w:before="60" w:after="60"/>
        <w:contextualSpacing w:val="0"/>
      </w:pPr>
      <w:r>
        <w:t>S</w:t>
      </w:r>
      <w:r w:rsidR="00665057">
        <w:t>atisfaction with current living situation</w:t>
      </w:r>
    </w:p>
    <w:p w14:paraId="54E936ED" w14:textId="23F5B134" w:rsidR="00665057" w:rsidRDefault="00244A4B" w:rsidP="00244A4B">
      <w:pPr>
        <w:pStyle w:val="ListParagraph"/>
        <w:numPr>
          <w:ilvl w:val="0"/>
          <w:numId w:val="3"/>
        </w:numPr>
        <w:spacing w:before="60" w:after="60"/>
        <w:contextualSpacing w:val="0"/>
      </w:pPr>
      <w:r>
        <w:t>S</w:t>
      </w:r>
      <w:r w:rsidR="00665057">
        <w:t xml:space="preserve">ustainability of current situation – are there barriers </w:t>
      </w:r>
      <w:r w:rsidR="006474BD">
        <w:t xml:space="preserve">including </w:t>
      </w:r>
      <w:r w:rsidR="00665057">
        <w:t>financial</w:t>
      </w:r>
      <w:r w:rsidR="006474BD">
        <w:t>, legal, or safety issues</w:t>
      </w:r>
    </w:p>
    <w:p w14:paraId="4C84E88A" w14:textId="0725A8C3" w:rsidR="00665057" w:rsidRDefault="00665057"/>
    <w:p w14:paraId="4AC7F12B" w14:textId="55F49098" w:rsidR="001D0CC8" w:rsidRPr="00244A4B" w:rsidRDefault="001D0CC8">
      <w:pPr>
        <w:rPr>
          <w:b/>
          <w:bCs/>
        </w:rPr>
      </w:pPr>
      <w:r w:rsidRPr="00244A4B">
        <w:rPr>
          <w:b/>
          <w:bCs/>
        </w:rPr>
        <w:t>Employment, Finances, and Benefits</w:t>
      </w:r>
    </w:p>
    <w:p w14:paraId="46996CD2" w14:textId="50862763" w:rsidR="001D0CC8" w:rsidRDefault="001D0CC8" w:rsidP="00244A4B">
      <w:pPr>
        <w:spacing w:before="60" w:after="60"/>
        <w:ind w:left="360"/>
      </w:pPr>
      <w:r>
        <w:t>R</w:t>
      </w:r>
      <w:r w:rsidRPr="001D0CC8">
        <w:t>efer to the Vocational Information and Demographics: Medical Insurance (for adult consumer), or School and Work (for youth consumer) section of the consumer’s Functional Eligibility Screen</w:t>
      </w:r>
      <w:r>
        <w:t xml:space="preserve"> as a resource.</w:t>
      </w:r>
    </w:p>
    <w:p w14:paraId="2A096CBB" w14:textId="6964A6D7" w:rsidR="001D0CC8" w:rsidRDefault="001D0CC8" w:rsidP="00244A4B">
      <w:pPr>
        <w:spacing w:before="60" w:after="60"/>
        <w:ind w:left="360"/>
      </w:pPr>
      <w:r>
        <w:t>Explore current employment including satisfaction and whether income and benefits meet needs</w:t>
      </w:r>
    </w:p>
    <w:p w14:paraId="55617021" w14:textId="5562EAE1" w:rsidR="001D0CC8" w:rsidRDefault="001D0CC8" w:rsidP="00244A4B">
      <w:pPr>
        <w:spacing w:before="60" w:after="60"/>
        <w:ind w:left="360"/>
      </w:pPr>
      <w:r>
        <w:t>If currently unemployed, explore interest in finding work, income goals, and interests and skills</w:t>
      </w:r>
    </w:p>
    <w:p w14:paraId="04166B60" w14:textId="6B220469" w:rsidR="001D0CC8" w:rsidRDefault="001D0CC8"/>
    <w:p w14:paraId="13101560" w14:textId="056C558D" w:rsidR="001D0CC8" w:rsidRPr="00244A4B" w:rsidRDefault="001D0CC8">
      <w:pPr>
        <w:rPr>
          <w:b/>
          <w:bCs/>
        </w:rPr>
      </w:pPr>
      <w:r w:rsidRPr="00244A4B">
        <w:rPr>
          <w:b/>
          <w:bCs/>
        </w:rPr>
        <w:t>Education</w:t>
      </w:r>
    </w:p>
    <w:p w14:paraId="281AAFB5" w14:textId="30219BF4" w:rsidR="001D0CC8" w:rsidRDefault="001D0CC8" w:rsidP="006474BD">
      <w:pPr>
        <w:spacing w:before="60" w:after="60"/>
        <w:ind w:left="360"/>
      </w:pPr>
      <w:r w:rsidRPr="001D0CC8">
        <w:t>If the consumer is a youth, refer to the School and Work section of their Functional Eligibility Screen</w:t>
      </w:r>
      <w:r>
        <w:t xml:space="preserve"> as a resource.</w:t>
      </w:r>
    </w:p>
    <w:p w14:paraId="1468A819" w14:textId="62DC8145" w:rsidR="001D0CC8" w:rsidRDefault="001D0CC8" w:rsidP="006474BD">
      <w:pPr>
        <w:spacing w:before="60" w:after="60"/>
        <w:ind w:left="360"/>
      </w:pPr>
      <w:r w:rsidRPr="001D0CC8">
        <w:t>If the consumer is an adult, refer to the Vocational Information section of their Functional Eligibility Screen</w:t>
      </w:r>
      <w:r>
        <w:t xml:space="preserve"> as a resource.</w:t>
      </w:r>
    </w:p>
    <w:p w14:paraId="15D76A5D" w14:textId="77777777" w:rsidR="006474BD" w:rsidRDefault="001D0CC8" w:rsidP="006474BD">
      <w:pPr>
        <w:spacing w:before="60" w:after="60"/>
        <w:ind w:left="360"/>
      </w:pPr>
      <w:r>
        <w:t>Explore</w:t>
      </w:r>
      <w:r w:rsidR="006474BD">
        <w:t>:</w:t>
      </w:r>
    </w:p>
    <w:p w14:paraId="3209FF1D" w14:textId="5166A9DD" w:rsidR="006474BD" w:rsidRDefault="006474BD" w:rsidP="006474BD">
      <w:pPr>
        <w:pStyle w:val="ListParagraph"/>
        <w:numPr>
          <w:ilvl w:val="0"/>
          <w:numId w:val="6"/>
        </w:numPr>
        <w:spacing w:before="60" w:after="60"/>
      </w:pPr>
      <w:r>
        <w:t>C</w:t>
      </w:r>
      <w:r w:rsidR="001D0CC8">
        <w:t>urrent level of education</w:t>
      </w:r>
    </w:p>
    <w:p w14:paraId="40581FD0" w14:textId="517DFBBA" w:rsidR="001D0CC8" w:rsidRDefault="006474BD" w:rsidP="006474BD">
      <w:pPr>
        <w:pStyle w:val="ListParagraph"/>
        <w:numPr>
          <w:ilvl w:val="0"/>
          <w:numId w:val="5"/>
        </w:numPr>
        <w:spacing w:before="60" w:after="60"/>
        <w:ind w:left="720"/>
      </w:pPr>
      <w:r>
        <w:t>S</w:t>
      </w:r>
      <w:r w:rsidR="001D0CC8">
        <w:t>trengths, skills, and areas of interest</w:t>
      </w:r>
    </w:p>
    <w:p w14:paraId="2F3F6DA8" w14:textId="60625AAA" w:rsidR="001D0CC8" w:rsidRDefault="006474BD" w:rsidP="006474BD">
      <w:pPr>
        <w:pStyle w:val="ListParagraph"/>
        <w:numPr>
          <w:ilvl w:val="0"/>
          <w:numId w:val="5"/>
        </w:numPr>
        <w:spacing w:before="60" w:after="60"/>
        <w:ind w:left="720"/>
      </w:pPr>
      <w:r>
        <w:t>A</w:t>
      </w:r>
      <w:r w:rsidR="001D0CC8">
        <w:t>reas of concern including academic, behavioral, and attendance</w:t>
      </w:r>
    </w:p>
    <w:p w14:paraId="383D0F57" w14:textId="48A699F2" w:rsidR="006474BD" w:rsidRDefault="006474BD" w:rsidP="006474BD">
      <w:pPr>
        <w:pStyle w:val="ListParagraph"/>
        <w:numPr>
          <w:ilvl w:val="0"/>
          <w:numId w:val="5"/>
        </w:numPr>
        <w:spacing w:before="60" w:after="60"/>
        <w:ind w:left="720"/>
      </w:pPr>
      <w:r>
        <w:t>Individuals who support the consumer in their educational efforts</w:t>
      </w:r>
    </w:p>
    <w:p w14:paraId="231912F6" w14:textId="13F92290" w:rsidR="001D0CC8" w:rsidRDefault="001D0CC8"/>
    <w:p w14:paraId="57AFB4D2" w14:textId="6D368319" w:rsidR="001D0CC8" w:rsidRPr="00244A4B" w:rsidRDefault="001D0CC8">
      <w:pPr>
        <w:rPr>
          <w:b/>
          <w:bCs/>
        </w:rPr>
      </w:pPr>
      <w:r w:rsidRPr="00244A4B">
        <w:rPr>
          <w:b/>
          <w:bCs/>
        </w:rPr>
        <w:t>Mental Health / Behavioral Health</w:t>
      </w:r>
    </w:p>
    <w:p w14:paraId="5F5050E3" w14:textId="0A595AE6" w:rsidR="001D0CC8" w:rsidRDefault="001D0CC8" w:rsidP="006474BD">
      <w:pPr>
        <w:spacing w:before="60" w:after="60"/>
        <w:ind w:left="360"/>
      </w:pPr>
      <w:r>
        <w:t>R</w:t>
      </w:r>
      <w:r w:rsidRPr="001D0CC8">
        <w:t>efer to the Mental Health and AODA Diagnoses section (for adult consumer), or Behaviors, Mental Health, and Diagnoses sections (for youth consumer) of the consumer’s Functional Eligibility Screen</w:t>
      </w:r>
      <w:r>
        <w:t xml:space="preserve"> as a resource.</w:t>
      </w:r>
    </w:p>
    <w:p w14:paraId="74A1BE30" w14:textId="77777777" w:rsidR="006474BD" w:rsidRDefault="00BB1902" w:rsidP="006474BD">
      <w:pPr>
        <w:spacing w:before="60" w:after="60"/>
        <w:ind w:left="360"/>
      </w:pPr>
      <w:r>
        <w:t xml:space="preserve">Explore </w:t>
      </w:r>
    </w:p>
    <w:p w14:paraId="2100DF0E" w14:textId="2D89F166" w:rsidR="001D0CC8" w:rsidRDefault="006474BD" w:rsidP="006474BD">
      <w:pPr>
        <w:pStyle w:val="ListParagraph"/>
        <w:numPr>
          <w:ilvl w:val="0"/>
          <w:numId w:val="7"/>
        </w:numPr>
        <w:spacing w:before="60" w:after="60"/>
        <w:ind w:left="720"/>
      </w:pPr>
      <w:r>
        <w:t>U</w:t>
      </w:r>
      <w:r w:rsidR="00BB1902">
        <w:t>nderstanding of diagnosis(es)</w:t>
      </w:r>
    </w:p>
    <w:p w14:paraId="540A33E9" w14:textId="2E3264FA" w:rsidR="00BB1902" w:rsidRDefault="006474BD" w:rsidP="006474BD">
      <w:pPr>
        <w:pStyle w:val="ListParagraph"/>
        <w:numPr>
          <w:ilvl w:val="0"/>
          <w:numId w:val="7"/>
        </w:numPr>
        <w:spacing w:before="60" w:after="60"/>
        <w:ind w:left="720"/>
      </w:pPr>
      <w:r>
        <w:t>H</w:t>
      </w:r>
      <w:r w:rsidR="00BB1902">
        <w:t>ow the symptoms of their diagnosis(es) affect daily life</w:t>
      </w:r>
    </w:p>
    <w:p w14:paraId="056EACCD" w14:textId="53583312" w:rsidR="00BB1902" w:rsidRDefault="006474BD" w:rsidP="006474BD">
      <w:pPr>
        <w:pStyle w:val="ListParagraph"/>
        <w:numPr>
          <w:ilvl w:val="0"/>
          <w:numId w:val="7"/>
        </w:numPr>
        <w:spacing w:before="60" w:after="60"/>
        <w:ind w:left="720"/>
      </w:pPr>
      <w:r>
        <w:t>W</w:t>
      </w:r>
      <w:r w:rsidR="00BB1902">
        <w:t>hat helps to minimize symptoms and coping skills</w:t>
      </w:r>
    </w:p>
    <w:p w14:paraId="7A3AF93D" w14:textId="3AC39691" w:rsidR="00BB1902" w:rsidRDefault="006474BD" w:rsidP="006474BD">
      <w:pPr>
        <w:pStyle w:val="ListParagraph"/>
        <w:numPr>
          <w:ilvl w:val="0"/>
          <w:numId w:val="7"/>
        </w:numPr>
        <w:spacing w:before="60" w:after="60"/>
        <w:ind w:left="720"/>
      </w:pPr>
      <w:r>
        <w:t>T</w:t>
      </w:r>
      <w:r w:rsidR="00BB1902">
        <w:t>riggers or what causes symptoms to worsen</w:t>
      </w:r>
    </w:p>
    <w:p w14:paraId="7D38D304" w14:textId="7BF3A854" w:rsidR="00BB1902" w:rsidRDefault="006474BD" w:rsidP="006474BD">
      <w:pPr>
        <w:pStyle w:val="ListParagraph"/>
        <w:numPr>
          <w:ilvl w:val="0"/>
          <w:numId w:val="7"/>
        </w:numPr>
        <w:spacing w:before="60" w:after="60"/>
        <w:ind w:left="720"/>
      </w:pPr>
      <w:r>
        <w:t>S</w:t>
      </w:r>
      <w:r w:rsidR="00BB1902">
        <w:t>atisfaction with current providers</w:t>
      </w:r>
    </w:p>
    <w:p w14:paraId="06AF9549" w14:textId="55A00381" w:rsidR="00BB1902" w:rsidRDefault="00BB1902" w:rsidP="006474BD">
      <w:pPr>
        <w:spacing w:before="60" w:after="60"/>
        <w:ind w:left="360"/>
        <w:rPr>
          <w:rFonts w:cs="Arial"/>
        </w:rPr>
      </w:pPr>
      <w:r>
        <w:t xml:space="preserve">Note: A mental status exam is required to be included in the consumer’s CCS record per </w:t>
      </w:r>
      <w:r w:rsidRPr="003C5F3B">
        <w:rPr>
          <w:rFonts w:cs="Arial"/>
        </w:rPr>
        <w:t>DHS 106.02[9][b], Wis. Admin. Code</w:t>
      </w:r>
      <w:r>
        <w:rPr>
          <w:rFonts w:cs="Arial"/>
        </w:rPr>
        <w:t>.</w:t>
      </w:r>
    </w:p>
    <w:p w14:paraId="76B34D0B" w14:textId="579F8F63" w:rsidR="00BB1902" w:rsidRDefault="00BB1902">
      <w:pPr>
        <w:rPr>
          <w:rFonts w:cs="Arial"/>
        </w:rPr>
      </w:pPr>
    </w:p>
    <w:p w14:paraId="1F4CB47D" w14:textId="07FF0555" w:rsidR="00BB1902" w:rsidRPr="00244A4B" w:rsidRDefault="00BB1902">
      <w:pPr>
        <w:rPr>
          <w:rFonts w:cs="Arial"/>
          <w:b/>
          <w:bCs/>
        </w:rPr>
      </w:pPr>
      <w:r w:rsidRPr="00244A4B">
        <w:rPr>
          <w:rFonts w:cs="Arial"/>
          <w:b/>
          <w:bCs/>
        </w:rPr>
        <w:t>Physical Health / Medical</w:t>
      </w:r>
    </w:p>
    <w:p w14:paraId="5D7C4CD1" w14:textId="5E9102B6" w:rsidR="00BB1902" w:rsidRDefault="00BB1902" w:rsidP="006474BD">
      <w:pPr>
        <w:spacing w:before="60" w:after="60"/>
        <w:ind w:left="360"/>
      </w:pPr>
      <w:r>
        <w:t>R</w:t>
      </w:r>
      <w:r w:rsidRPr="00BB1902">
        <w:t>efer to the Other Diagnoses section (for adult consumer), or Diagnoses, Health Related Services, and Primary Care Physician Information sections (for youth consumer) of the consumer’s Functional Eligibility Screen</w:t>
      </w:r>
      <w:r>
        <w:t xml:space="preserve"> as a resource.</w:t>
      </w:r>
    </w:p>
    <w:p w14:paraId="3970A5E9" w14:textId="77777777" w:rsidR="006474BD" w:rsidRDefault="00BB1902" w:rsidP="006474BD">
      <w:pPr>
        <w:spacing w:before="60" w:after="60"/>
        <w:ind w:left="360"/>
      </w:pPr>
      <w:r>
        <w:t xml:space="preserve">Explore </w:t>
      </w:r>
    </w:p>
    <w:p w14:paraId="7C21E3EB" w14:textId="71837FD4" w:rsidR="00BB1902" w:rsidRDefault="006474BD" w:rsidP="006474BD">
      <w:pPr>
        <w:pStyle w:val="ListParagraph"/>
        <w:numPr>
          <w:ilvl w:val="0"/>
          <w:numId w:val="8"/>
        </w:numPr>
        <w:spacing w:before="60" w:after="60"/>
        <w:ind w:left="720"/>
      </w:pPr>
      <w:r>
        <w:t>C</w:t>
      </w:r>
      <w:r w:rsidR="00BB1902">
        <w:t xml:space="preserve">urrent health care providers </w:t>
      </w:r>
      <w:r>
        <w:t xml:space="preserve">(primary, dental, vision, etc.) </w:t>
      </w:r>
      <w:r w:rsidR="00BB1902">
        <w:t>and satisfaction with providers</w:t>
      </w:r>
    </w:p>
    <w:p w14:paraId="4295C7F7" w14:textId="5B40EB2E" w:rsidR="00BB1902" w:rsidRDefault="006474BD" w:rsidP="006474BD">
      <w:pPr>
        <w:pStyle w:val="ListParagraph"/>
        <w:numPr>
          <w:ilvl w:val="0"/>
          <w:numId w:val="8"/>
        </w:numPr>
        <w:spacing w:before="60" w:after="60"/>
        <w:ind w:left="720"/>
      </w:pPr>
      <w:r>
        <w:t>N</w:t>
      </w:r>
      <w:r w:rsidR="00BB1902">
        <w:t xml:space="preserve">eeds or gaps in this area </w:t>
      </w:r>
    </w:p>
    <w:p w14:paraId="76342E0F" w14:textId="5E12A1AB" w:rsidR="00BB1902" w:rsidRDefault="006474BD" w:rsidP="006474BD">
      <w:pPr>
        <w:pStyle w:val="ListParagraph"/>
        <w:numPr>
          <w:ilvl w:val="0"/>
          <w:numId w:val="8"/>
        </w:numPr>
        <w:spacing w:before="60" w:after="60"/>
        <w:ind w:left="720"/>
      </w:pPr>
      <w:r>
        <w:t>S</w:t>
      </w:r>
      <w:r w:rsidR="00BB1902">
        <w:t>ignificant past medical or physical health issues that may currently impact the consumer</w:t>
      </w:r>
    </w:p>
    <w:p w14:paraId="0BD0F671" w14:textId="7CFD4B82" w:rsidR="006474BD" w:rsidRDefault="006474BD" w:rsidP="006474BD">
      <w:pPr>
        <w:pStyle w:val="ListParagraph"/>
        <w:numPr>
          <w:ilvl w:val="0"/>
          <w:numId w:val="8"/>
        </w:numPr>
        <w:spacing w:before="60" w:after="60"/>
        <w:ind w:left="720"/>
      </w:pPr>
      <w:r>
        <w:lastRenderedPageBreak/>
        <w:t>Alternative therapies or healers</w:t>
      </w:r>
    </w:p>
    <w:p w14:paraId="312A3943" w14:textId="3B6F125A" w:rsidR="00BB1902" w:rsidRDefault="00BB1902"/>
    <w:p w14:paraId="2F1FECE6" w14:textId="7654278E" w:rsidR="00BB1902" w:rsidRPr="00244A4B" w:rsidRDefault="00BB1902">
      <w:pPr>
        <w:rPr>
          <w:b/>
          <w:bCs/>
        </w:rPr>
      </w:pPr>
      <w:r w:rsidRPr="00244A4B">
        <w:rPr>
          <w:b/>
          <w:bCs/>
        </w:rPr>
        <w:t>Medications</w:t>
      </w:r>
    </w:p>
    <w:p w14:paraId="157E6BE6" w14:textId="312A761C" w:rsidR="00BB1902" w:rsidRDefault="00BB1902" w:rsidP="006474BD">
      <w:pPr>
        <w:spacing w:before="60" w:after="60"/>
        <w:ind w:left="360"/>
      </w:pPr>
      <w:r>
        <w:t>R</w:t>
      </w:r>
      <w:r w:rsidRPr="00BB1902">
        <w:t>efer to the Taking Medications, and Monitoring Medication Effects portions of the Community Living Skill Inventory section (for adult consumer) of the consumer’s Functional Eligibility Screen</w:t>
      </w:r>
      <w:r w:rsidR="007A441C">
        <w:t xml:space="preserve"> as a resource.</w:t>
      </w:r>
    </w:p>
    <w:p w14:paraId="5DF55BF4" w14:textId="77777777" w:rsidR="006474BD" w:rsidRDefault="007A441C" w:rsidP="006474BD">
      <w:pPr>
        <w:spacing w:before="60" w:after="60"/>
        <w:ind w:left="360"/>
      </w:pPr>
      <w:r>
        <w:t xml:space="preserve">Explore </w:t>
      </w:r>
    </w:p>
    <w:p w14:paraId="4501EAE9" w14:textId="23963358" w:rsidR="007A441C" w:rsidRDefault="006474BD" w:rsidP="006474BD">
      <w:pPr>
        <w:pStyle w:val="ListParagraph"/>
        <w:numPr>
          <w:ilvl w:val="0"/>
          <w:numId w:val="9"/>
        </w:numPr>
        <w:spacing w:before="60" w:after="60"/>
        <w:ind w:left="720"/>
      </w:pPr>
      <w:r>
        <w:t>U</w:t>
      </w:r>
      <w:r w:rsidR="007A441C">
        <w:t>nderstanding of purpose of medications</w:t>
      </w:r>
    </w:p>
    <w:p w14:paraId="1530E0E8" w14:textId="1E9A3B2A" w:rsidR="007A441C" w:rsidRDefault="006474BD" w:rsidP="006474BD">
      <w:pPr>
        <w:pStyle w:val="ListParagraph"/>
        <w:numPr>
          <w:ilvl w:val="0"/>
          <w:numId w:val="9"/>
        </w:numPr>
        <w:spacing w:before="60" w:after="60"/>
        <w:ind w:left="720"/>
      </w:pPr>
      <w:r>
        <w:t>S</w:t>
      </w:r>
      <w:r w:rsidR="007A441C">
        <w:t>atisfaction with medications</w:t>
      </w:r>
    </w:p>
    <w:p w14:paraId="2E65E6F1" w14:textId="218AC046" w:rsidR="007A441C" w:rsidRDefault="006474BD" w:rsidP="006474BD">
      <w:pPr>
        <w:pStyle w:val="ListParagraph"/>
        <w:numPr>
          <w:ilvl w:val="0"/>
          <w:numId w:val="9"/>
        </w:numPr>
        <w:spacing w:before="60" w:after="60"/>
        <w:ind w:left="720"/>
      </w:pPr>
      <w:r>
        <w:t>S</w:t>
      </w:r>
      <w:r w:rsidR="007A441C">
        <w:t xml:space="preserve">ide effects </w:t>
      </w:r>
    </w:p>
    <w:p w14:paraId="75B0EFAB" w14:textId="5F61CE15" w:rsidR="007A441C" w:rsidRDefault="006474BD" w:rsidP="006474BD">
      <w:pPr>
        <w:pStyle w:val="ListParagraph"/>
        <w:numPr>
          <w:ilvl w:val="0"/>
          <w:numId w:val="9"/>
        </w:numPr>
        <w:spacing w:before="60" w:after="60"/>
        <w:ind w:left="720"/>
      </w:pPr>
      <w:r>
        <w:t>Consistency</w:t>
      </w:r>
      <w:r w:rsidR="007A441C">
        <w:t xml:space="preserve"> / following of prescribed dose and frequency</w:t>
      </w:r>
      <w:r>
        <w:t xml:space="preserve"> (medication management)</w:t>
      </w:r>
    </w:p>
    <w:p w14:paraId="57ED89EC" w14:textId="4ED10E7B" w:rsidR="007A441C" w:rsidRDefault="007A441C"/>
    <w:p w14:paraId="25C1609C" w14:textId="48F892F7" w:rsidR="00836FB9" w:rsidRPr="00244A4B" w:rsidRDefault="007A441C" w:rsidP="007A441C">
      <w:pPr>
        <w:rPr>
          <w:b/>
          <w:bCs/>
        </w:rPr>
      </w:pPr>
      <w:r w:rsidRPr="00244A4B">
        <w:rPr>
          <w:b/>
          <w:bCs/>
        </w:rPr>
        <w:t>Substance Use</w:t>
      </w:r>
    </w:p>
    <w:p w14:paraId="4DF9C0CF" w14:textId="63F3AFE5" w:rsidR="007A441C" w:rsidRDefault="007A441C" w:rsidP="00182870">
      <w:pPr>
        <w:spacing w:before="60" w:after="60"/>
        <w:ind w:left="360"/>
      </w:pPr>
      <w:r>
        <w:t xml:space="preserve">If the consumer has a substance−use disorder per DHS 36.16(2)(c) the substance use diagnoses shall be established by a substance abuse </w:t>
      </w:r>
      <w:r w:rsidR="00182870">
        <w:t>professional,</w:t>
      </w:r>
      <w:r>
        <w:t xml:space="preserve"> and a substance use assessment must be completed by a substance use professional and not of the service facilitator (if this is not within their scope of practice and are not licensed).  </w:t>
      </w:r>
    </w:p>
    <w:p w14:paraId="0166B440" w14:textId="736E1F75" w:rsidR="007A441C" w:rsidRDefault="00836FB9" w:rsidP="00182870">
      <w:pPr>
        <w:spacing w:before="60" w:after="60"/>
        <w:ind w:left="360"/>
      </w:pPr>
      <w:r>
        <w:t xml:space="preserve">The </w:t>
      </w:r>
      <w:r w:rsidR="007A441C">
        <w:t>substance use assessment does not need to be completed within the substance use domain and can be attached or an addition to the CCS Assessment.</w:t>
      </w:r>
    </w:p>
    <w:p w14:paraId="5984BFC3" w14:textId="032AE746" w:rsidR="007A441C" w:rsidRDefault="007A441C" w:rsidP="00182870">
      <w:pPr>
        <w:spacing w:before="60" w:after="60"/>
        <w:ind w:left="360"/>
      </w:pPr>
      <w:r>
        <w:t>DQA has identified that even if the consumer may not want to address their substance use a substance use assessment must be completed; therefore, the substance use assessment may be very minimal or look different from a substance use assessment for an individual who is engaging in the substance use assessment.</w:t>
      </w:r>
    </w:p>
    <w:p w14:paraId="760BCFBC" w14:textId="073C6210" w:rsidR="00836FB9" w:rsidRDefault="00836FB9" w:rsidP="00182870">
      <w:pPr>
        <w:spacing w:before="60" w:after="60"/>
        <w:ind w:left="360"/>
      </w:pPr>
      <w:r>
        <w:t>If the consumer does not have an existing substance use diagnosis, the service facilitator should complete this section of the assessment to determine whether a substance use professional should be involved.</w:t>
      </w:r>
    </w:p>
    <w:p w14:paraId="3F4F836F" w14:textId="77777777" w:rsidR="006474BD" w:rsidRDefault="00836FB9" w:rsidP="00182870">
      <w:pPr>
        <w:spacing w:before="60" w:after="60"/>
        <w:ind w:left="360"/>
      </w:pPr>
      <w:r>
        <w:t xml:space="preserve">Explore </w:t>
      </w:r>
    </w:p>
    <w:p w14:paraId="2552C2C9" w14:textId="7C86B638" w:rsidR="00836FB9" w:rsidRDefault="006474BD" w:rsidP="00182870">
      <w:pPr>
        <w:pStyle w:val="ListParagraph"/>
        <w:numPr>
          <w:ilvl w:val="0"/>
          <w:numId w:val="10"/>
        </w:numPr>
        <w:spacing w:before="60" w:after="60"/>
        <w:ind w:left="720"/>
      </w:pPr>
      <w:r>
        <w:t>U</w:t>
      </w:r>
      <w:r w:rsidR="00836FB9">
        <w:t>se – frequency, amount, alone or with others</w:t>
      </w:r>
    </w:p>
    <w:p w14:paraId="1FF71E3B" w14:textId="7407E6F8" w:rsidR="00836FB9" w:rsidRDefault="006474BD" w:rsidP="00182870">
      <w:pPr>
        <w:pStyle w:val="ListParagraph"/>
        <w:numPr>
          <w:ilvl w:val="0"/>
          <w:numId w:val="10"/>
        </w:numPr>
        <w:spacing w:before="60" w:after="60"/>
        <w:ind w:left="720"/>
      </w:pPr>
      <w:r>
        <w:t>W</w:t>
      </w:r>
      <w:r w:rsidR="00836FB9">
        <w:t>hether substances interfere with any part of their life</w:t>
      </w:r>
    </w:p>
    <w:p w14:paraId="201FAB22" w14:textId="09570705" w:rsidR="00836FB9" w:rsidRDefault="006474BD" w:rsidP="00182870">
      <w:pPr>
        <w:pStyle w:val="ListParagraph"/>
        <w:numPr>
          <w:ilvl w:val="0"/>
          <w:numId w:val="10"/>
        </w:numPr>
        <w:spacing w:before="60" w:after="60"/>
        <w:ind w:left="720"/>
      </w:pPr>
      <w:r>
        <w:t>P</w:t>
      </w:r>
      <w:r w:rsidR="00836FB9">
        <w:t>ast and current providers including satisfaction</w:t>
      </w:r>
    </w:p>
    <w:p w14:paraId="2FDF8796" w14:textId="21AB50A0" w:rsidR="00836FB9" w:rsidRDefault="00182870" w:rsidP="00182870">
      <w:pPr>
        <w:pStyle w:val="ListParagraph"/>
        <w:numPr>
          <w:ilvl w:val="0"/>
          <w:numId w:val="10"/>
        </w:numPr>
        <w:spacing w:before="60" w:after="60"/>
        <w:ind w:left="720"/>
      </w:pPr>
      <w:r>
        <w:t>Substance availability and opportunity (f</w:t>
      </w:r>
      <w:r w:rsidR="00836FB9">
        <w:t>riend and family substance use</w:t>
      </w:r>
      <w:r>
        <w:t>)</w:t>
      </w:r>
    </w:p>
    <w:p w14:paraId="3D814C6A" w14:textId="3E189373" w:rsidR="00836FB9" w:rsidRDefault="00182870" w:rsidP="00182870">
      <w:pPr>
        <w:pStyle w:val="ListParagraph"/>
        <w:numPr>
          <w:ilvl w:val="0"/>
          <w:numId w:val="10"/>
        </w:numPr>
        <w:spacing w:before="60" w:after="60"/>
        <w:ind w:left="720"/>
      </w:pPr>
      <w:r>
        <w:t>K</w:t>
      </w:r>
      <w:r w:rsidR="00836FB9">
        <w:t>nowledge of resources such as AA/NA/support groups and treatment services</w:t>
      </w:r>
    </w:p>
    <w:p w14:paraId="4E15455B" w14:textId="21129265" w:rsidR="00836FB9" w:rsidRDefault="00836FB9" w:rsidP="00244A4B">
      <w:pPr>
        <w:spacing w:before="60" w:after="60"/>
      </w:pPr>
    </w:p>
    <w:p w14:paraId="6086FA77" w14:textId="6912FD54" w:rsidR="00836FB9" w:rsidRPr="00244A4B" w:rsidRDefault="00836FB9" w:rsidP="00244A4B">
      <w:pPr>
        <w:spacing w:before="60" w:after="60"/>
        <w:rPr>
          <w:b/>
          <w:bCs/>
        </w:rPr>
      </w:pPr>
      <w:r w:rsidRPr="00244A4B">
        <w:rPr>
          <w:b/>
          <w:bCs/>
        </w:rPr>
        <w:t>Trauma and Significant Life Stressors</w:t>
      </w:r>
    </w:p>
    <w:p w14:paraId="5BA445C5" w14:textId="3CEC59B2" w:rsidR="00836FB9" w:rsidRDefault="00836FB9" w:rsidP="00182870">
      <w:pPr>
        <w:spacing w:before="60" w:after="60"/>
        <w:ind w:left="360"/>
      </w:pPr>
      <w:r>
        <w:t>R</w:t>
      </w:r>
      <w:r w:rsidRPr="00836FB9">
        <w:t>efer to the Mental Health and AODA Diagnoses section (for adult consumer), or Behaviors, Mental Health, and Diagnoses sections (for youth consumer) of the consumer’s Functional Eligibility Screen</w:t>
      </w:r>
      <w:r>
        <w:t xml:space="preserve"> as a resource.</w:t>
      </w:r>
    </w:p>
    <w:p w14:paraId="732C21AE" w14:textId="77777777" w:rsidR="00182870" w:rsidRDefault="00836FB9" w:rsidP="00182870">
      <w:pPr>
        <w:spacing w:before="60" w:after="60"/>
        <w:ind w:left="360"/>
      </w:pPr>
      <w:r>
        <w:t xml:space="preserve">Explore </w:t>
      </w:r>
    </w:p>
    <w:p w14:paraId="459EBCC0" w14:textId="621E728D" w:rsidR="00836FB9" w:rsidRDefault="00182870" w:rsidP="00182870">
      <w:pPr>
        <w:pStyle w:val="ListParagraph"/>
        <w:numPr>
          <w:ilvl w:val="0"/>
          <w:numId w:val="11"/>
        </w:numPr>
        <w:spacing w:before="60" w:after="60"/>
        <w:ind w:left="720"/>
      </w:pPr>
      <w:r>
        <w:t>S</w:t>
      </w:r>
      <w:r w:rsidR="00836FB9">
        <w:t>ources of stress</w:t>
      </w:r>
    </w:p>
    <w:p w14:paraId="105ED8C6" w14:textId="3906E73B" w:rsidR="00836FB9" w:rsidRDefault="00182870" w:rsidP="00182870">
      <w:pPr>
        <w:pStyle w:val="ListParagraph"/>
        <w:numPr>
          <w:ilvl w:val="0"/>
          <w:numId w:val="11"/>
        </w:numPr>
        <w:spacing w:before="60" w:after="60"/>
        <w:ind w:left="720"/>
      </w:pPr>
      <w:r>
        <w:t>C</w:t>
      </w:r>
      <w:r w:rsidR="00836FB9">
        <w:t xml:space="preserve">oping / calming strategies </w:t>
      </w:r>
    </w:p>
    <w:p w14:paraId="4BDB8A4C" w14:textId="414A6CB1" w:rsidR="00836FB9" w:rsidRDefault="00182870" w:rsidP="00182870">
      <w:pPr>
        <w:pStyle w:val="ListParagraph"/>
        <w:numPr>
          <w:ilvl w:val="0"/>
          <w:numId w:val="11"/>
        </w:numPr>
        <w:spacing w:before="60" w:after="60"/>
        <w:ind w:left="720"/>
      </w:pPr>
      <w:r>
        <w:t>P</w:t>
      </w:r>
      <w:r w:rsidR="00836FB9">
        <w:t xml:space="preserve">ast sources of significant stress or trauma such as severe accidents or injuries, </w:t>
      </w:r>
      <w:r w:rsidR="005D2173">
        <w:t>witness or victim of abuse or assault, experiences of being bullied or threatened</w:t>
      </w:r>
    </w:p>
    <w:p w14:paraId="1159D45C" w14:textId="3E34992D" w:rsidR="005D2173" w:rsidRDefault="005D2173" w:rsidP="007A441C"/>
    <w:p w14:paraId="02E51F54" w14:textId="26573845" w:rsidR="005D2173" w:rsidRPr="00244A4B" w:rsidRDefault="005D2173" w:rsidP="00244A4B">
      <w:pPr>
        <w:rPr>
          <w:b/>
          <w:bCs/>
        </w:rPr>
      </w:pPr>
      <w:r w:rsidRPr="00244A4B">
        <w:rPr>
          <w:b/>
          <w:bCs/>
        </w:rPr>
        <w:t>Crisis Prevention and Management</w:t>
      </w:r>
    </w:p>
    <w:p w14:paraId="62216A83" w14:textId="4FFB8B35" w:rsidR="005D2173" w:rsidRDefault="00182870" w:rsidP="00182870">
      <w:pPr>
        <w:spacing w:before="60" w:after="60"/>
        <w:ind w:left="360"/>
      </w:pPr>
      <w:r>
        <w:t>R</w:t>
      </w:r>
      <w:r w:rsidR="005D2173" w:rsidRPr="005D2173">
        <w:t>efer to the Crisis and Situational Factors and Risk Factors sections (for adult consumer), or Behaviors section (for youth consumer) of the consumer’s Functional Eligibility Scree</w:t>
      </w:r>
      <w:r w:rsidR="005D2173">
        <w:t>n as a resource.</w:t>
      </w:r>
    </w:p>
    <w:p w14:paraId="4043BC5B" w14:textId="77777777" w:rsidR="00182870" w:rsidRDefault="005D2173" w:rsidP="00182870">
      <w:pPr>
        <w:spacing w:before="60" w:after="60"/>
        <w:ind w:left="360"/>
      </w:pPr>
      <w:r>
        <w:t xml:space="preserve">Explore </w:t>
      </w:r>
    </w:p>
    <w:p w14:paraId="7B166B28" w14:textId="1B4854DA" w:rsidR="005D2173" w:rsidRDefault="00182870" w:rsidP="00182870">
      <w:pPr>
        <w:pStyle w:val="ListParagraph"/>
        <w:numPr>
          <w:ilvl w:val="0"/>
          <w:numId w:val="12"/>
        </w:numPr>
        <w:spacing w:before="60" w:after="60"/>
        <w:ind w:left="720"/>
      </w:pPr>
      <w:r>
        <w:t>W</w:t>
      </w:r>
      <w:r w:rsidR="005D2173">
        <w:t>hat types of situations are considered crises</w:t>
      </w:r>
      <w:r w:rsidR="005D2173" w:rsidRPr="005D2173">
        <w:t xml:space="preserve"> </w:t>
      </w:r>
    </w:p>
    <w:p w14:paraId="390EDB85" w14:textId="00E518C3" w:rsidR="005D2173" w:rsidRDefault="00182870" w:rsidP="00182870">
      <w:pPr>
        <w:pStyle w:val="ListParagraph"/>
        <w:numPr>
          <w:ilvl w:val="0"/>
          <w:numId w:val="12"/>
        </w:numPr>
        <w:spacing w:before="60" w:after="60"/>
        <w:ind w:left="720"/>
      </w:pPr>
      <w:r>
        <w:t>I</w:t>
      </w:r>
      <w:r w:rsidR="005D2173">
        <w:t xml:space="preserve">nterventions (both formal/provider related and informal/natural and community supports) – both what’s worked, what hasn’t, and what’s been partially effective </w:t>
      </w:r>
    </w:p>
    <w:p w14:paraId="054D4B56" w14:textId="014FE66E" w:rsidR="005D2173" w:rsidRDefault="005D2173" w:rsidP="007A441C"/>
    <w:p w14:paraId="7147C8AC" w14:textId="3BE1443F" w:rsidR="005D2173" w:rsidRPr="00244A4B" w:rsidRDefault="005D2173" w:rsidP="00244A4B">
      <w:pPr>
        <w:rPr>
          <w:b/>
          <w:bCs/>
        </w:rPr>
      </w:pPr>
      <w:r w:rsidRPr="00244A4B">
        <w:rPr>
          <w:b/>
          <w:bCs/>
        </w:rPr>
        <w:t>Legal Status</w:t>
      </w:r>
    </w:p>
    <w:p w14:paraId="4C03F403" w14:textId="13D08052" w:rsidR="005D2173" w:rsidRDefault="005D2173" w:rsidP="00182870">
      <w:pPr>
        <w:spacing w:before="60" w:after="60"/>
        <w:ind w:left="360"/>
      </w:pPr>
      <w:r>
        <w:t>R</w:t>
      </w:r>
      <w:r w:rsidRPr="005D2173">
        <w:t>efer to the Legal Concerns section (for youth consumer) of the consumer’s Functional Eligibility Screen</w:t>
      </w:r>
      <w:r>
        <w:t xml:space="preserve"> as a resource.</w:t>
      </w:r>
    </w:p>
    <w:p w14:paraId="756EB9DB" w14:textId="77777777" w:rsidR="00182870" w:rsidRDefault="005D2173" w:rsidP="00182870">
      <w:pPr>
        <w:spacing w:before="60" w:after="60"/>
        <w:ind w:left="360"/>
      </w:pPr>
      <w:r>
        <w:t xml:space="preserve">Explore </w:t>
      </w:r>
    </w:p>
    <w:p w14:paraId="40D78B34" w14:textId="3DF7FF97" w:rsidR="005D2173" w:rsidRDefault="00182870" w:rsidP="00182870">
      <w:pPr>
        <w:pStyle w:val="ListParagraph"/>
        <w:numPr>
          <w:ilvl w:val="0"/>
          <w:numId w:val="13"/>
        </w:numPr>
        <w:spacing w:before="60" w:after="60"/>
        <w:ind w:left="720"/>
      </w:pPr>
      <w:r>
        <w:t>C</w:t>
      </w:r>
      <w:r w:rsidR="005D2173">
        <w:t>urrent legal involvement</w:t>
      </w:r>
    </w:p>
    <w:p w14:paraId="180766C9" w14:textId="22DAAF50" w:rsidR="005D2173" w:rsidRDefault="005D2173" w:rsidP="00182870">
      <w:pPr>
        <w:pStyle w:val="ListParagraph"/>
        <w:numPr>
          <w:ilvl w:val="0"/>
          <w:numId w:val="13"/>
        </w:numPr>
        <w:spacing w:before="60" w:after="60"/>
        <w:ind w:left="720"/>
      </w:pPr>
      <w:r>
        <w:t xml:space="preserve">Past legal involvement if relevant to the </w:t>
      </w:r>
      <w:r w:rsidR="00182870">
        <w:t>individual’s</w:t>
      </w:r>
      <w:r>
        <w:t xml:space="preserve"> current situation</w:t>
      </w:r>
    </w:p>
    <w:p w14:paraId="0049430E" w14:textId="66D2DC41" w:rsidR="005D2173" w:rsidRDefault="005D2173" w:rsidP="00182870">
      <w:pPr>
        <w:spacing w:before="60" w:after="60"/>
        <w:ind w:left="360"/>
      </w:pPr>
      <w:r>
        <w:t xml:space="preserve">Examples of legal involvement may include but aren’t limited to: </w:t>
      </w:r>
      <w:r w:rsidRPr="005D2173">
        <w:t>divorce and/or child custody process, bankruptcy, mortgage foreclosure, pending criminal charges, restraining order</w:t>
      </w:r>
    </w:p>
    <w:p w14:paraId="589843B9" w14:textId="0AF035DF" w:rsidR="00836FB9" w:rsidRDefault="00836FB9" w:rsidP="007A441C"/>
    <w:p w14:paraId="3C4F57D8" w14:textId="4453C9E1" w:rsidR="005D2173" w:rsidRPr="00244A4B" w:rsidRDefault="005D2173" w:rsidP="00244A4B">
      <w:pPr>
        <w:rPr>
          <w:b/>
          <w:bCs/>
        </w:rPr>
      </w:pPr>
      <w:r w:rsidRPr="00244A4B">
        <w:rPr>
          <w:b/>
          <w:bCs/>
        </w:rPr>
        <w:t xml:space="preserve">Additional Needs and Strengths </w:t>
      </w:r>
    </w:p>
    <w:p w14:paraId="5D749C1F" w14:textId="3AC125EC" w:rsidR="005D2173" w:rsidRDefault="005D2173" w:rsidP="00182870">
      <w:pPr>
        <w:spacing w:before="60" w:after="60"/>
        <w:ind w:left="360"/>
      </w:pPr>
      <w:r>
        <w:t xml:space="preserve">Explore additional areas of strength or interest such as </w:t>
      </w:r>
      <w:r w:rsidRPr="005D2173">
        <w:t>hobbies, talents, hopes, and dreams</w:t>
      </w:r>
    </w:p>
    <w:p w14:paraId="1ED8AD99" w14:textId="3C7641F6" w:rsidR="005D2173" w:rsidRDefault="005D2173" w:rsidP="00182870">
      <w:pPr>
        <w:spacing w:before="60" w:after="60"/>
        <w:ind w:left="360"/>
      </w:pPr>
      <w:r>
        <w:t>Explore additional areas of need not already covered/discussed</w:t>
      </w:r>
    </w:p>
    <w:p w14:paraId="4C5239B2" w14:textId="77777777" w:rsidR="007A441C" w:rsidRPr="000767C4" w:rsidRDefault="007A441C"/>
    <w:sectPr w:rsidR="007A441C" w:rsidRPr="000767C4" w:rsidSect="005D2173">
      <w:footerReference w:type="default" r:id="rId7"/>
      <w:pgSz w:w="12240" w:h="15840"/>
      <w:pgMar w:top="1152" w:right="1152" w:bottom="1008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D097" w14:textId="77777777" w:rsidR="00C10BDA" w:rsidRDefault="00C10BDA" w:rsidP="005D2173">
      <w:r>
        <w:separator/>
      </w:r>
    </w:p>
  </w:endnote>
  <w:endnote w:type="continuationSeparator" w:id="0">
    <w:p w14:paraId="1CEAD9D1" w14:textId="77777777" w:rsidR="00C10BDA" w:rsidRDefault="00C10BDA" w:rsidP="005D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61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D6D44" w14:textId="64098315" w:rsidR="005D2173" w:rsidRDefault="005D2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566C0" w14:textId="77777777" w:rsidR="005D2173" w:rsidRDefault="005D2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C919" w14:textId="77777777" w:rsidR="00C10BDA" w:rsidRDefault="00C10BDA" w:rsidP="005D2173">
      <w:r>
        <w:separator/>
      </w:r>
    </w:p>
  </w:footnote>
  <w:footnote w:type="continuationSeparator" w:id="0">
    <w:p w14:paraId="7E5C9E3A" w14:textId="77777777" w:rsidR="00C10BDA" w:rsidRDefault="00C10BDA" w:rsidP="005D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0FA"/>
    <w:multiLevelType w:val="hybridMultilevel"/>
    <w:tmpl w:val="3E4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CD9"/>
    <w:multiLevelType w:val="hybridMultilevel"/>
    <w:tmpl w:val="354A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76F4"/>
    <w:multiLevelType w:val="hybridMultilevel"/>
    <w:tmpl w:val="92C64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A8300E3"/>
    <w:multiLevelType w:val="hybridMultilevel"/>
    <w:tmpl w:val="495EF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B1F88"/>
    <w:multiLevelType w:val="hybridMultilevel"/>
    <w:tmpl w:val="B57E3A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2A2895"/>
    <w:multiLevelType w:val="hybridMultilevel"/>
    <w:tmpl w:val="5240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A2E"/>
    <w:multiLevelType w:val="hybridMultilevel"/>
    <w:tmpl w:val="0A28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C7E5D"/>
    <w:multiLevelType w:val="hybridMultilevel"/>
    <w:tmpl w:val="23E0A2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F371940"/>
    <w:multiLevelType w:val="hybridMultilevel"/>
    <w:tmpl w:val="D46A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3E573C"/>
    <w:multiLevelType w:val="hybridMultilevel"/>
    <w:tmpl w:val="810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18F"/>
    <w:multiLevelType w:val="hybridMultilevel"/>
    <w:tmpl w:val="D36217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FF26EFE"/>
    <w:multiLevelType w:val="hybridMultilevel"/>
    <w:tmpl w:val="AC04B9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575FBE"/>
    <w:multiLevelType w:val="hybridMultilevel"/>
    <w:tmpl w:val="9A42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46"/>
    <w:rsid w:val="000767C4"/>
    <w:rsid w:val="00182870"/>
    <w:rsid w:val="00196E46"/>
    <w:rsid w:val="001D0CC8"/>
    <w:rsid w:val="001F1B60"/>
    <w:rsid w:val="00244A4B"/>
    <w:rsid w:val="0037485D"/>
    <w:rsid w:val="005D2173"/>
    <w:rsid w:val="006474BD"/>
    <w:rsid w:val="00665057"/>
    <w:rsid w:val="007A441C"/>
    <w:rsid w:val="00836FB9"/>
    <w:rsid w:val="008F5D6E"/>
    <w:rsid w:val="00BB1902"/>
    <w:rsid w:val="00C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EAD1"/>
  <w15:chartTrackingRefBased/>
  <w15:docId w15:val="{666052AB-4E77-4C93-97BD-897F19A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73"/>
  </w:style>
  <w:style w:type="paragraph" w:styleId="Footer">
    <w:name w:val="footer"/>
    <w:basedOn w:val="Normal"/>
    <w:link w:val="FooterChar"/>
    <w:uiPriority w:val="99"/>
    <w:unhideWhenUsed/>
    <w:rsid w:val="005D2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73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Meyer, Kate</cp:lastModifiedBy>
  <cp:revision>2</cp:revision>
  <dcterms:created xsi:type="dcterms:W3CDTF">2021-07-08T15:44:00Z</dcterms:created>
  <dcterms:modified xsi:type="dcterms:W3CDTF">2021-07-08T15:44:00Z</dcterms:modified>
</cp:coreProperties>
</file>