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A2B79" w14:textId="19AA7378" w:rsidR="00E318AD" w:rsidRDefault="00E318AD" w:rsidP="00BB71A9">
      <w:pPr>
        <w:pBdr>
          <w:bottom w:val="single" w:sz="4" w:space="1" w:color="auto"/>
        </w:pBdr>
        <w:jc w:val="center"/>
        <w:rPr>
          <w:rFonts w:cstheme="minorHAnsi"/>
          <w:b/>
        </w:rPr>
      </w:pPr>
      <w:r w:rsidRPr="00E318AD">
        <w:rPr>
          <w:rFonts w:cstheme="minorHAnsi"/>
          <w:b/>
        </w:rPr>
        <w:t>Sample Standard Language for Recovery Plans</w:t>
      </w:r>
    </w:p>
    <w:p w14:paraId="3B1C9012" w14:textId="77777777" w:rsidR="00BB71A9" w:rsidRPr="00E318AD" w:rsidRDefault="00BB71A9" w:rsidP="00BB71A9">
      <w:pPr>
        <w:pBdr>
          <w:bottom w:val="single" w:sz="4" w:space="1" w:color="auto"/>
        </w:pBdr>
        <w:jc w:val="center"/>
        <w:rPr>
          <w:rFonts w:cstheme="minorHAnsi"/>
          <w:b/>
        </w:rPr>
      </w:pPr>
      <w:bookmarkStart w:id="0" w:name="_GoBack"/>
      <w:bookmarkEnd w:id="0"/>
    </w:p>
    <w:p w14:paraId="4AD52808" w14:textId="7BE8A89A" w:rsidR="00E318AD" w:rsidRDefault="00E318AD" w:rsidP="00B83EA1">
      <w:pPr>
        <w:rPr>
          <w:rFonts w:cstheme="minorHAnsi"/>
          <w:b/>
          <w:sz w:val="22"/>
        </w:rPr>
      </w:pPr>
    </w:p>
    <w:p w14:paraId="2799042C" w14:textId="793525A5" w:rsidR="00534BDD" w:rsidRPr="008079DB" w:rsidRDefault="00534BDD" w:rsidP="00B83EA1">
      <w:pPr>
        <w:rPr>
          <w:rFonts w:cstheme="minorHAnsi"/>
          <w:i/>
          <w:sz w:val="22"/>
        </w:rPr>
      </w:pPr>
      <w:r w:rsidRPr="008079DB">
        <w:rPr>
          <w:rFonts w:cstheme="minorHAnsi"/>
          <w:i/>
          <w:sz w:val="22"/>
        </w:rPr>
        <w:t xml:space="preserve">Following are sample </w:t>
      </w:r>
      <w:r w:rsidR="0057093C" w:rsidRPr="008079DB">
        <w:rPr>
          <w:rFonts w:cstheme="minorHAnsi"/>
          <w:i/>
          <w:sz w:val="22"/>
        </w:rPr>
        <w:t>entries</w:t>
      </w:r>
      <w:r w:rsidR="00DE3C41">
        <w:rPr>
          <w:rFonts w:cstheme="minorHAnsi"/>
          <w:i/>
          <w:sz w:val="22"/>
        </w:rPr>
        <w:t xml:space="preserve"> for standard service activities</w:t>
      </w:r>
      <w:r w:rsidR="0057093C" w:rsidRPr="008079DB">
        <w:rPr>
          <w:rFonts w:cstheme="minorHAnsi"/>
          <w:i/>
          <w:sz w:val="22"/>
        </w:rPr>
        <w:t xml:space="preserve"> that counties may consider including or adapting for inclusion</w:t>
      </w:r>
      <w:r w:rsidR="008079DB" w:rsidRPr="008079DB">
        <w:rPr>
          <w:rFonts w:cstheme="minorHAnsi"/>
          <w:i/>
          <w:sz w:val="22"/>
        </w:rPr>
        <w:t xml:space="preserve"> </w:t>
      </w:r>
      <w:r w:rsidR="008079DB">
        <w:rPr>
          <w:rFonts w:cstheme="minorHAnsi"/>
          <w:i/>
          <w:sz w:val="22"/>
        </w:rPr>
        <w:t>in CCS</w:t>
      </w:r>
      <w:r w:rsidR="008079DB" w:rsidRPr="008079DB">
        <w:rPr>
          <w:rFonts w:cstheme="minorHAnsi"/>
          <w:i/>
          <w:sz w:val="22"/>
        </w:rPr>
        <w:t xml:space="preserve"> recovery plans:</w:t>
      </w:r>
    </w:p>
    <w:p w14:paraId="5D2C3791" w14:textId="77777777" w:rsidR="00534BDD" w:rsidRDefault="00534BDD" w:rsidP="00B83EA1">
      <w:pPr>
        <w:rPr>
          <w:rFonts w:cstheme="minorHAnsi"/>
          <w:b/>
          <w:sz w:val="22"/>
        </w:rPr>
      </w:pPr>
    </w:p>
    <w:p w14:paraId="652D4EAB" w14:textId="6F026B24" w:rsidR="00B83EA1" w:rsidRPr="00B83EA1" w:rsidRDefault="00B83EA1" w:rsidP="00DE3C41">
      <w:pPr>
        <w:ind w:left="180"/>
        <w:rPr>
          <w:rFonts w:cstheme="minorHAnsi"/>
          <w:sz w:val="22"/>
        </w:rPr>
      </w:pPr>
      <w:r w:rsidRPr="00B83EA1">
        <w:rPr>
          <w:rFonts w:cstheme="minorHAnsi"/>
          <w:b/>
          <w:sz w:val="22"/>
        </w:rPr>
        <w:t>Service Facilitators:</w:t>
      </w:r>
      <w:r w:rsidRPr="00B83EA1">
        <w:rPr>
          <w:rFonts w:cstheme="minorHAnsi"/>
          <w:sz w:val="22"/>
        </w:rPr>
        <w:t xml:space="preserve"> (</w:t>
      </w:r>
      <w:r w:rsidRPr="00B83EA1">
        <w:rPr>
          <w:rFonts w:cstheme="minorHAnsi"/>
          <w:i/>
          <w:color w:val="4F81BD"/>
          <w:sz w:val="22"/>
        </w:rPr>
        <w:t>name and credentials</w:t>
      </w:r>
      <w:r w:rsidRPr="00B83EA1">
        <w:rPr>
          <w:rFonts w:cstheme="minorHAnsi"/>
          <w:sz w:val="22"/>
        </w:rPr>
        <w:t>) will provide Service Facilitation, Service Planning and Assessment services to assist (</w:t>
      </w:r>
      <w:r w:rsidRPr="00B83EA1">
        <w:rPr>
          <w:rFonts w:cstheme="minorHAnsi"/>
          <w:i/>
          <w:color w:val="4F81BD"/>
          <w:sz w:val="22"/>
        </w:rPr>
        <w:t>consumer</w:t>
      </w:r>
      <w:r w:rsidRPr="00B83EA1">
        <w:rPr>
          <w:rFonts w:cstheme="minorHAnsi"/>
          <w:sz w:val="22"/>
        </w:rPr>
        <w:t>) in addressing the goals barriers, and objectives detailed in the plan as well as problem solving related dynamics. It is anticipated that this will entail (</w:t>
      </w:r>
      <w:r w:rsidRPr="00B83EA1">
        <w:rPr>
          <w:rFonts w:cstheme="minorHAnsi"/>
          <w:i/>
          <w:color w:val="0070C0"/>
          <w:sz w:val="22"/>
        </w:rPr>
        <w:t>number</w:t>
      </w:r>
      <w:r w:rsidRPr="00B83EA1">
        <w:rPr>
          <w:rFonts w:cstheme="minorHAnsi"/>
          <w:sz w:val="22"/>
        </w:rPr>
        <w:t>) of (</w:t>
      </w:r>
      <w:r w:rsidRPr="00B83EA1">
        <w:rPr>
          <w:rFonts w:cstheme="minorHAnsi"/>
          <w:i/>
          <w:color w:val="0070C0"/>
          <w:sz w:val="22"/>
        </w:rPr>
        <w:t>units</w:t>
      </w:r>
      <w:r w:rsidRPr="00B83EA1">
        <w:rPr>
          <w:rFonts w:cstheme="minorHAnsi"/>
          <w:sz w:val="22"/>
        </w:rPr>
        <w:t xml:space="preserve">) per month. Another trained Service Facilitator may perform these duties if this worker is absent or unavailable when service is required. </w:t>
      </w:r>
    </w:p>
    <w:p w14:paraId="162FE1DF" w14:textId="77777777" w:rsidR="00B83EA1" w:rsidRPr="00B83EA1" w:rsidRDefault="00B83EA1" w:rsidP="00DE3C41">
      <w:pPr>
        <w:ind w:left="180"/>
        <w:rPr>
          <w:rFonts w:cstheme="minorHAnsi"/>
          <w:sz w:val="22"/>
        </w:rPr>
      </w:pPr>
    </w:p>
    <w:p w14:paraId="45F8E321" w14:textId="303BC2C9" w:rsidR="00B83EA1" w:rsidRPr="00B83EA1" w:rsidRDefault="00B83EA1" w:rsidP="00DE3C41">
      <w:pPr>
        <w:ind w:left="180"/>
        <w:rPr>
          <w:rFonts w:cstheme="minorHAnsi"/>
          <w:sz w:val="22"/>
        </w:rPr>
      </w:pPr>
      <w:r w:rsidRPr="00B83EA1">
        <w:rPr>
          <w:rFonts w:cstheme="minorHAnsi"/>
          <w:b/>
          <w:sz w:val="22"/>
        </w:rPr>
        <w:t>Mental Health Professional:</w:t>
      </w:r>
      <w:r w:rsidRPr="00B83EA1">
        <w:rPr>
          <w:rFonts w:cstheme="minorHAnsi"/>
          <w:sz w:val="22"/>
        </w:rPr>
        <w:t xml:space="preserve"> (</w:t>
      </w:r>
      <w:r w:rsidRPr="00B83EA1">
        <w:rPr>
          <w:rFonts w:cstheme="minorHAnsi"/>
          <w:i/>
          <w:color w:val="4F81BD"/>
          <w:sz w:val="22"/>
        </w:rPr>
        <w:t>name and credentials</w:t>
      </w:r>
      <w:r w:rsidRPr="00B83EA1">
        <w:rPr>
          <w:rFonts w:cstheme="minorHAnsi"/>
          <w:sz w:val="22"/>
        </w:rPr>
        <w:t>) will fill the required role of the CCS Mental Health Professional in admission, service planning, services facilitation, case consultation, and discharge from the program. It is anticipated that this will entail (</w:t>
      </w:r>
      <w:r w:rsidRPr="00B83EA1">
        <w:rPr>
          <w:rFonts w:cstheme="minorHAnsi"/>
          <w:i/>
          <w:color w:val="4F81BD"/>
          <w:sz w:val="22"/>
        </w:rPr>
        <w:t>number</w:t>
      </w:r>
      <w:r w:rsidRPr="00B83EA1">
        <w:rPr>
          <w:rFonts w:cstheme="minorHAnsi"/>
          <w:sz w:val="22"/>
        </w:rPr>
        <w:t>) (</w:t>
      </w:r>
      <w:r w:rsidRPr="00B83EA1">
        <w:rPr>
          <w:rFonts w:cstheme="minorHAnsi"/>
          <w:i/>
          <w:color w:val="0070C0"/>
          <w:sz w:val="22"/>
        </w:rPr>
        <w:t>units</w:t>
      </w:r>
      <w:r w:rsidRPr="00B83EA1">
        <w:rPr>
          <w:rFonts w:cstheme="minorHAnsi"/>
          <w:sz w:val="22"/>
        </w:rPr>
        <w:t xml:space="preserve">) per month. Another trained MHP may perform these duties if this worker is absent or unavailable when service is required. </w:t>
      </w:r>
    </w:p>
    <w:p w14:paraId="6FD7C651" w14:textId="02B9260B" w:rsidR="00550E9A" w:rsidRDefault="00550E9A" w:rsidP="00DE3C41">
      <w:pPr>
        <w:ind w:left="180"/>
        <w:rPr>
          <w:rFonts w:cstheme="minorHAnsi"/>
          <w:sz w:val="22"/>
        </w:rPr>
      </w:pPr>
    </w:p>
    <w:p w14:paraId="3F489B03" w14:textId="7B6F9A05" w:rsidR="00E318AD" w:rsidRPr="00B83EA1" w:rsidRDefault="00E318AD" w:rsidP="00DE3C41">
      <w:pPr>
        <w:ind w:left="180"/>
        <w:rPr>
          <w:rFonts w:cstheme="minorHAnsi"/>
          <w:sz w:val="22"/>
        </w:rPr>
      </w:pPr>
      <w:r>
        <w:rPr>
          <w:rFonts w:cstheme="minorHAnsi"/>
          <w:b/>
          <w:sz w:val="22"/>
        </w:rPr>
        <w:t>Substance Use</w:t>
      </w:r>
      <w:r w:rsidRPr="00B83EA1">
        <w:rPr>
          <w:rFonts w:cstheme="minorHAnsi"/>
          <w:b/>
          <w:sz w:val="22"/>
        </w:rPr>
        <w:t xml:space="preserve"> Professional</w:t>
      </w:r>
      <w:r>
        <w:rPr>
          <w:rFonts w:cstheme="minorHAnsi"/>
          <w:b/>
          <w:sz w:val="22"/>
        </w:rPr>
        <w:t xml:space="preserve"> </w:t>
      </w:r>
      <w:r w:rsidRPr="00E318AD">
        <w:rPr>
          <w:rFonts w:cstheme="minorHAnsi"/>
          <w:i/>
          <w:sz w:val="22"/>
        </w:rPr>
        <w:t>(if applicable)</w:t>
      </w:r>
      <w:r w:rsidRPr="00B83EA1">
        <w:rPr>
          <w:rFonts w:cstheme="minorHAnsi"/>
          <w:b/>
          <w:sz w:val="22"/>
        </w:rPr>
        <w:t>:</w:t>
      </w:r>
      <w:r w:rsidRPr="00B83EA1">
        <w:rPr>
          <w:rFonts w:cstheme="minorHAnsi"/>
          <w:sz w:val="22"/>
        </w:rPr>
        <w:t xml:space="preserve"> (</w:t>
      </w:r>
      <w:r w:rsidRPr="00B83EA1">
        <w:rPr>
          <w:rFonts w:cstheme="minorHAnsi"/>
          <w:i/>
          <w:color w:val="4F81BD"/>
          <w:sz w:val="22"/>
        </w:rPr>
        <w:t>name and credentials</w:t>
      </w:r>
      <w:r w:rsidRPr="00B83EA1">
        <w:rPr>
          <w:rFonts w:cstheme="minorHAnsi"/>
          <w:sz w:val="22"/>
        </w:rPr>
        <w:t xml:space="preserve">) will fill the required role of the CCS </w:t>
      </w:r>
      <w:r>
        <w:rPr>
          <w:rFonts w:cstheme="minorHAnsi"/>
          <w:sz w:val="22"/>
        </w:rPr>
        <w:t>Substance Use</w:t>
      </w:r>
      <w:r w:rsidRPr="00B83EA1">
        <w:rPr>
          <w:rFonts w:cstheme="minorHAnsi"/>
          <w:sz w:val="22"/>
        </w:rPr>
        <w:t xml:space="preserve"> Professional in admission, service planning, services facilitation, case consultation, and discharge from the program. It is anticipated that this will entail (</w:t>
      </w:r>
      <w:r w:rsidRPr="00B83EA1">
        <w:rPr>
          <w:rFonts w:cstheme="minorHAnsi"/>
          <w:i/>
          <w:color w:val="4F81BD"/>
          <w:sz w:val="22"/>
        </w:rPr>
        <w:t>number</w:t>
      </w:r>
      <w:r w:rsidRPr="00B83EA1">
        <w:rPr>
          <w:rFonts w:cstheme="minorHAnsi"/>
          <w:sz w:val="22"/>
        </w:rPr>
        <w:t>) (</w:t>
      </w:r>
      <w:r w:rsidRPr="00B83EA1">
        <w:rPr>
          <w:rFonts w:cstheme="minorHAnsi"/>
          <w:i/>
          <w:color w:val="0070C0"/>
          <w:sz w:val="22"/>
        </w:rPr>
        <w:t>units</w:t>
      </w:r>
      <w:r w:rsidRPr="00B83EA1">
        <w:rPr>
          <w:rFonts w:cstheme="minorHAnsi"/>
          <w:sz w:val="22"/>
        </w:rPr>
        <w:t xml:space="preserve">) per month. Another trained </w:t>
      </w:r>
      <w:r>
        <w:rPr>
          <w:rFonts w:cstheme="minorHAnsi"/>
          <w:sz w:val="22"/>
        </w:rPr>
        <w:t>SUP</w:t>
      </w:r>
      <w:r w:rsidRPr="00B83EA1">
        <w:rPr>
          <w:rFonts w:cstheme="minorHAnsi"/>
          <w:sz w:val="22"/>
        </w:rPr>
        <w:t xml:space="preserve"> may perform these duties if this worker is absent or unavailable when service is required. </w:t>
      </w:r>
    </w:p>
    <w:p w14:paraId="13F52993" w14:textId="77777777" w:rsidR="00E318AD" w:rsidRPr="00B83EA1" w:rsidRDefault="00E318AD" w:rsidP="00DE3C41">
      <w:pPr>
        <w:ind w:left="180"/>
        <w:rPr>
          <w:rFonts w:cstheme="minorHAnsi"/>
          <w:sz w:val="22"/>
        </w:rPr>
      </w:pPr>
    </w:p>
    <w:p w14:paraId="2B23BA9D" w14:textId="77777777" w:rsidR="00B83EA1" w:rsidRPr="00B83EA1" w:rsidRDefault="00B83EA1" w:rsidP="00DE3C41">
      <w:pPr>
        <w:ind w:left="180"/>
        <w:rPr>
          <w:rFonts w:cstheme="minorHAnsi"/>
          <w:sz w:val="22"/>
        </w:rPr>
      </w:pPr>
      <w:r w:rsidRPr="00B83EA1">
        <w:rPr>
          <w:rFonts w:cstheme="minorHAnsi"/>
          <w:b/>
          <w:sz w:val="22"/>
        </w:rPr>
        <w:t>Recovery Team Members:</w:t>
      </w:r>
      <w:r w:rsidRPr="00B83EA1">
        <w:rPr>
          <w:rFonts w:cstheme="minorHAnsi"/>
          <w:sz w:val="22"/>
        </w:rPr>
        <w:t xml:space="preserve"> (</w:t>
      </w:r>
      <w:r w:rsidRPr="00B83EA1">
        <w:rPr>
          <w:rFonts w:cstheme="minorHAnsi"/>
          <w:i/>
          <w:color w:val="4F81BD"/>
          <w:sz w:val="22"/>
        </w:rPr>
        <w:t>name and credentials</w:t>
      </w:r>
      <w:r w:rsidRPr="00B83EA1">
        <w:rPr>
          <w:rFonts w:cstheme="minorHAnsi"/>
          <w:sz w:val="22"/>
        </w:rPr>
        <w:t>) will be involved in the initial comprehensive assessment process, and ongoing assessment activities as needed.  It is anticipated that this will entail (</w:t>
      </w:r>
      <w:r w:rsidRPr="00B83EA1">
        <w:rPr>
          <w:rFonts w:cstheme="minorHAnsi"/>
          <w:i/>
          <w:color w:val="4F81BD"/>
          <w:sz w:val="22"/>
        </w:rPr>
        <w:t>number</w:t>
      </w:r>
      <w:r w:rsidRPr="00B83EA1">
        <w:rPr>
          <w:rFonts w:cstheme="minorHAnsi"/>
          <w:sz w:val="22"/>
        </w:rPr>
        <w:t>) of (</w:t>
      </w:r>
      <w:r w:rsidRPr="00B83EA1">
        <w:rPr>
          <w:rFonts w:cstheme="minorHAnsi"/>
          <w:i/>
          <w:color w:val="0070C0"/>
          <w:sz w:val="22"/>
        </w:rPr>
        <w:t>units</w:t>
      </w:r>
      <w:r w:rsidRPr="00B83EA1">
        <w:rPr>
          <w:rFonts w:cstheme="minorHAnsi"/>
          <w:sz w:val="22"/>
        </w:rPr>
        <w:t>) between (</w:t>
      </w:r>
      <w:r w:rsidRPr="00B83EA1">
        <w:rPr>
          <w:rFonts w:cstheme="minorHAnsi"/>
          <w:i/>
          <w:color w:val="0070C0"/>
          <w:sz w:val="22"/>
        </w:rPr>
        <w:t>first 30-day</w:t>
      </w:r>
      <w:r>
        <w:rPr>
          <w:rFonts w:cstheme="minorHAnsi"/>
          <w:i/>
          <w:color w:val="0070C0"/>
          <w:sz w:val="22"/>
        </w:rPr>
        <w:t xml:space="preserve"> date range</w:t>
      </w:r>
      <w:r w:rsidRPr="00B83EA1">
        <w:rPr>
          <w:rFonts w:cstheme="minorHAnsi"/>
          <w:sz w:val="22"/>
        </w:rPr>
        <w:t>), and (</w:t>
      </w:r>
      <w:r w:rsidRPr="00B83EA1">
        <w:rPr>
          <w:rFonts w:cstheme="minorHAnsi"/>
          <w:i/>
          <w:color w:val="4F81BD"/>
          <w:sz w:val="22"/>
        </w:rPr>
        <w:t>number</w:t>
      </w:r>
      <w:r w:rsidRPr="00B83EA1">
        <w:rPr>
          <w:rFonts w:cstheme="minorHAnsi"/>
          <w:sz w:val="22"/>
        </w:rPr>
        <w:t>) of (</w:t>
      </w:r>
      <w:r w:rsidRPr="00B83EA1">
        <w:rPr>
          <w:rFonts w:cstheme="minorHAnsi"/>
          <w:i/>
          <w:color w:val="0070C0"/>
          <w:sz w:val="22"/>
        </w:rPr>
        <w:t>units</w:t>
      </w:r>
      <w:r w:rsidRPr="00B83EA1">
        <w:rPr>
          <w:rFonts w:cstheme="minorHAnsi"/>
          <w:sz w:val="22"/>
        </w:rPr>
        <w:t>) per (</w:t>
      </w:r>
      <w:r w:rsidRPr="00B83EA1">
        <w:rPr>
          <w:rFonts w:cstheme="minorHAnsi"/>
          <w:i/>
          <w:color w:val="0070C0"/>
          <w:sz w:val="22"/>
        </w:rPr>
        <w:t>month/quarter/etc.</w:t>
      </w:r>
      <w:r w:rsidRPr="00B83EA1">
        <w:rPr>
          <w:rFonts w:cstheme="minorHAnsi"/>
          <w:sz w:val="22"/>
        </w:rPr>
        <w:t xml:space="preserve">) thereafter.  </w:t>
      </w:r>
    </w:p>
    <w:p w14:paraId="51232841" w14:textId="4CCC1F9A" w:rsidR="00B83EA1" w:rsidRPr="00B83EA1" w:rsidRDefault="00B83EA1" w:rsidP="00DE3C41">
      <w:pPr>
        <w:ind w:left="180"/>
        <w:rPr>
          <w:rFonts w:cstheme="minorHAnsi"/>
          <w:sz w:val="22"/>
        </w:rPr>
      </w:pPr>
    </w:p>
    <w:p w14:paraId="4DA9EDE6" w14:textId="682A7278" w:rsidR="00B83EA1" w:rsidRPr="00B83EA1" w:rsidRDefault="00B83EA1" w:rsidP="00DE3C41">
      <w:pPr>
        <w:ind w:left="180"/>
        <w:rPr>
          <w:rFonts w:cstheme="minorHAnsi"/>
          <w:sz w:val="22"/>
        </w:rPr>
      </w:pPr>
      <w:r w:rsidRPr="00B83EA1">
        <w:rPr>
          <w:rFonts w:cstheme="minorHAnsi"/>
          <w:b/>
          <w:sz w:val="22"/>
        </w:rPr>
        <w:t>Recovery Team Members:</w:t>
      </w:r>
      <w:r w:rsidRPr="00B83EA1">
        <w:rPr>
          <w:rFonts w:cstheme="minorHAnsi"/>
          <w:sz w:val="22"/>
        </w:rPr>
        <w:t xml:space="preserve"> (</w:t>
      </w:r>
      <w:r w:rsidRPr="00B83EA1">
        <w:rPr>
          <w:rFonts w:cstheme="minorHAnsi"/>
          <w:i/>
          <w:color w:val="4F81BD"/>
          <w:sz w:val="22"/>
        </w:rPr>
        <w:t>name and credentials</w:t>
      </w:r>
      <w:r w:rsidRPr="00B83EA1">
        <w:rPr>
          <w:rFonts w:cstheme="minorHAnsi"/>
          <w:sz w:val="22"/>
        </w:rPr>
        <w:t>) will be involved in the service planning process and service plan reviews.  It is anticipated that this will entail (number) of (</w:t>
      </w:r>
      <w:r w:rsidRPr="00B83EA1">
        <w:rPr>
          <w:rFonts w:cstheme="minorHAnsi"/>
          <w:i/>
          <w:color w:val="0070C0"/>
          <w:sz w:val="22"/>
        </w:rPr>
        <w:t>units</w:t>
      </w:r>
      <w:r w:rsidRPr="00B83EA1">
        <w:rPr>
          <w:rFonts w:cstheme="minorHAnsi"/>
          <w:sz w:val="22"/>
        </w:rPr>
        <w:t>) between (</w:t>
      </w:r>
      <w:r w:rsidRPr="00B83EA1">
        <w:rPr>
          <w:rFonts w:cstheme="minorHAnsi"/>
          <w:i/>
          <w:color w:val="0070C0"/>
          <w:sz w:val="22"/>
        </w:rPr>
        <w:t>first 30-day</w:t>
      </w:r>
      <w:r>
        <w:rPr>
          <w:rFonts w:cstheme="minorHAnsi"/>
          <w:i/>
          <w:color w:val="0070C0"/>
          <w:sz w:val="22"/>
        </w:rPr>
        <w:t xml:space="preserve"> date range</w:t>
      </w:r>
      <w:r w:rsidRPr="00B83EA1">
        <w:rPr>
          <w:rFonts w:cstheme="minorHAnsi"/>
          <w:sz w:val="22"/>
        </w:rPr>
        <w:t>), and (</w:t>
      </w:r>
      <w:r w:rsidRPr="00B83EA1">
        <w:rPr>
          <w:rFonts w:cstheme="minorHAnsi"/>
          <w:i/>
          <w:color w:val="4F81BD"/>
          <w:sz w:val="22"/>
        </w:rPr>
        <w:t>number</w:t>
      </w:r>
      <w:r w:rsidRPr="00B83EA1">
        <w:rPr>
          <w:rFonts w:cstheme="minorHAnsi"/>
          <w:sz w:val="22"/>
        </w:rPr>
        <w:t>) of (</w:t>
      </w:r>
      <w:r w:rsidRPr="00B83EA1">
        <w:rPr>
          <w:rFonts w:cstheme="minorHAnsi"/>
          <w:i/>
          <w:color w:val="0070C0"/>
          <w:sz w:val="22"/>
        </w:rPr>
        <w:t>units</w:t>
      </w:r>
      <w:r w:rsidRPr="00B83EA1">
        <w:rPr>
          <w:rFonts w:cstheme="minorHAnsi"/>
          <w:sz w:val="22"/>
        </w:rPr>
        <w:t>) per (</w:t>
      </w:r>
      <w:r w:rsidRPr="00B83EA1">
        <w:rPr>
          <w:rFonts w:cstheme="minorHAnsi"/>
          <w:i/>
          <w:color w:val="0070C0"/>
          <w:sz w:val="22"/>
        </w:rPr>
        <w:t>month/quarter/etc.</w:t>
      </w:r>
      <w:r w:rsidRPr="00B83EA1">
        <w:rPr>
          <w:rFonts w:cstheme="minorHAnsi"/>
          <w:sz w:val="22"/>
        </w:rPr>
        <w:t xml:space="preserve">) thereafter.  </w:t>
      </w:r>
    </w:p>
    <w:p w14:paraId="4DE5368E" w14:textId="23F1BA57" w:rsidR="00B83EA1" w:rsidRDefault="00B83EA1">
      <w:pPr>
        <w:rPr>
          <w:b/>
        </w:rPr>
      </w:pPr>
    </w:p>
    <w:p w14:paraId="0B8658E6" w14:textId="3C0D395C" w:rsidR="009A5721" w:rsidRDefault="009A5721">
      <w:pPr>
        <w:rPr>
          <w:b/>
        </w:rPr>
      </w:pPr>
    </w:p>
    <w:p w14:paraId="625E550A" w14:textId="4E1E3741" w:rsidR="009A5721" w:rsidRPr="00D115B2" w:rsidRDefault="009A5721">
      <w:pPr>
        <w:rPr>
          <w:sz w:val="22"/>
        </w:rPr>
      </w:pPr>
    </w:p>
    <w:sectPr w:rsidR="009A5721" w:rsidRPr="00D115B2" w:rsidSect="00BB71A9">
      <w:footerReference w:type="default" r:id="rId7"/>
      <w:pgSz w:w="12240" w:h="15840"/>
      <w:pgMar w:top="1008" w:right="1152" w:bottom="864" w:left="1152" w:header="720"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833D" w14:textId="77777777" w:rsidR="00BB71A9" w:rsidRDefault="00BB71A9" w:rsidP="00BB71A9">
      <w:r>
        <w:separator/>
      </w:r>
    </w:p>
  </w:endnote>
  <w:endnote w:type="continuationSeparator" w:id="0">
    <w:p w14:paraId="59C8AC90" w14:textId="77777777" w:rsidR="00BB71A9" w:rsidRDefault="00BB71A9" w:rsidP="00BB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670"/>
    </w:tblGrid>
    <w:tr w:rsidR="00BB71A9" w14:paraId="764B925A" w14:textId="77777777" w:rsidTr="00BB71A9">
      <w:tc>
        <w:tcPr>
          <w:tcW w:w="4675" w:type="dxa"/>
        </w:tcPr>
        <w:p w14:paraId="6564269C" w14:textId="48EA1418" w:rsidR="00BB71A9" w:rsidRDefault="00BB71A9" w:rsidP="00BB71A9">
          <w:pPr>
            <w:pStyle w:val="Footer"/>
            <w:rPr>
              <w:sz w:val="16"/>
            </w:rPr>
          </w:pPr>
          <w:r w:rsidRPr="00BB71A9">
            <w:rPr>
              <w:sz w:val="16"/>
            </w:rPr>
            <w:t>Created for the Central Wisconsin Health Partnership</w:t>
          </w:r>
          <w:r>
            <w:rPr>
              <w:sz w:val="16"/>
            </w:rPr>
            <w:t xml:space="preserve"> by</w:t>
          </w:r>
        </w:p>
        <w:p w14:paraId="7A319FDA" w14:textId="5D67779A" w:rsidR="00BB71A9" w:rsidRPr="00BB71A9" w:rsidRDefault="00BB71A9" w:rsidP="00BB71A9">
          <w:pPr>
            <w:pStyle w:val="Footer"/>
            <w:rPr>
              <w:sz w:val="16"/>
            </w:rPr>
          </w:pPr>
          <w:r w:rsidRPr="00BB71A9">
            <w:rPr>
              <w:sz w:val="16"/>
            </w:rPr>
            <w:t>White Pine Consulting Service</w:t>
          </w:r>
        </w:p>
      </w:tc>
      <w:tc>
        <w:tcPr>
          <w:tcW w:w="5670" w:type="dxa"/>
        </w:tcPr>
        <w:p w14:paraId="5CCE6D7F" w14:textId="15E51413" w:rsidR="00BB71A9" w:rsidRPr="00BB71A9" w:rsidRDefault="00BB71A9" w:rsidP="00BB71A9">
          <w:pPr>
            <w:pStyle w:val="Footer"/>
            <w:jc w:val="right"/>
            <w:rPr>
              <w:sz w:val="16"/>
            </w:rPr>
          </w:pPr>
          <w:r w:rsidRPr="00BB71A9">
            <w:rPr>
              <w:sz w:val="16"/>
            </w:rPr>
            <w:t xml:space="preserve">Adapted from a document created by </w:t>
          </w:r>
          <w:r>
            <w:rPr>
              <w:sz w:val="16"/>
            </w:rPr>
            <w:t xml:space="preserve">and for </w:t>
          </w:r>
          <w:r w:rsidRPr="00BB71A9">
            <w:rPr>
              <w:sz w:val="16"/>
            </w:rPr>
            <w:t>the Western Region Integrated Care</w:t>
          </w:r>
        </w:p>
      </w:tc>
    </w:tr>
  </w:tbl>
  <w:p w14:paraId="2F743ADD" w14:textId="4565C75B" w:rsidR="00BB71A9" w:rsidRPr="00BB71A9" w:rsidRDefault="00BB71A9" w:rsidP="00BB7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44A2" w14:textId="77777777" w:rsidR="00BB71A9" w:rsidRDefault="00BB71A9" w:rsidP="00BB71A9">
      <w:r>
        <w:separator/>
      </w:r>
    </w:p>
  </w:footnote>
  <w:footnote w:type="continuationSeparator" w:id="0">
    <w:p w14:paraId="189C9560" w14:textId="77777777" w:rsidR="00BB71A9" w:rsidRDefault="00BB71A9" w:rsidP="00BB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018"/>
    <w:multiLevelType w:val="hybridMultilevel"/>
    <w:tmpl w:val="0EECE192"/>
    <w:lvl w:ilvl="0" w:tplc="96F271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A1"/>
    <w:rsid w:val="00194354"/>
    <w:rsid w:val="005125CC"/>
    <w:rsid w:val="00534BDD"/>
    <w:rsid w:val="00550E9A"/>
    <w:rsid w:val="0057093C"/>
    <w:rsid w:val="005A7BBF"/>
    <w:rsid w:val="006039B8"/>
    <w:rsid w:val="008079DB"/>
    <w:rsid w:val="009A5721"/>
    <w:rsid w:val="00A61B0E"/>
    <w:rsid w:val="00B147C0"/>
    <w:rsid w:val="00B83EA1"/>
    <w:rsid w:val="00BB71A9"/>
    <w:rsid w:val="00D115B2"/>
    <w:rsid w:val="00DE3C41"/>
    <w:rsid w:val="00E318AD"/>
    <w:rsid w:val="00E7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8C62B"/>
  <w15:chartTrackingRefBased/>
  <w15:docId w15:val="{33DC31AD-0CC9-47AD-B22F-51A597F3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EA1"/>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194354"/>
    <w:pPr>
      <w:keepNext/>
      <w:keepLines/>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54"/>
    <w:rPr>
      <w:rFonts w:eastAsiaTheme="majorEastAsia" w:cstheme="majorBidi"/>
      <w:sz w:val="28"/>
      <w:szCs w:val="32"/>
    </w:rPr>
  </w:style>
  <w:style w:type="paragraph" w:styleId="ListParagraph">
    <w:name w:val="List Paragraph"/>
    <w:basedOn w:val="Normal"/>
    <w:uiPriority w:val="34"/>
    <w:qFormat/>
    <w:rsid w:val="00B83EA1"/>
    <w:pPr>
      <w:ind w:left="720"/>
      <w:contextualSpacing/>
    </w:pPr>
  </w:style>
  <w:style w:type="paragraph" w:styleId="Header">
    <w:name w:val="header"/>
    <w:basedOn w:val="Normal"/>
    <w:link w:val="HeaderChar"/>
    <w:uiPriority w:val="99"/>
    <w:unhideWhenUsed/>
    <w:rsid w:val="00BB71A9"/>
    <w:pPr>
      <w:tabs>
        <w:tab w:val="center" w:pos="4680"/>
        <w:tab w:val="right" w:pos="9360"/>
      </w:tabs>
    </w:pPr>
  </w:style>
  <w:style w:type="character" w:customStyle="1" w:styleId="HeaderChar">
    <w:name w:val="Header Char"/>
    <w:basedOn w:val="DefaultParagraphFont"/>
    <w:link w:val="Header"/>
    <w:uiPriority w:val="99"/>
    <w:rsid w:val="00BB71A9"/>
    <w:rPr>
      <w:rFonts w:eastAsiaTheme="minorEastAsia" w:cs="Times New Roman"/>
      <w:sz w:val="24"/>
      <w:szCs w:val="24"/>
    </w:rPr>
  </w:style>
  <w:style w:type="paragraph" w:styleId="Footer">
    <w:name w:val="footer"/>
    <w:basedOn w:val="Normal"/>
    <w:link w:val="FooterChar"/>
    <w:uiPriority w:val="99"/>
    <w:unhideWhenUsed/>
    <w:rsid w:val="00BB71A9"/>
    <w:pPr>
      <w:tabs>
        <w:tab w:val="center" w:pos="4680"/>
        <w:tab w:val="right" w:pos="9360"/>
      </w:tabs>
    </w:pPr>
  </w:style>
  <w:style w:type="character" w:customStyle="1" w:styleId="FooterChar">
    <w:name w:val="Footer Char"/>
    <w:basedOn w:val="DefaultParagraphFont"/>
    <w:link w:val="Footer"/>
    <w:uiPriority w:val="99"/>
    <w:rsid w:val="00BB71A9"/>
    <w:rPr>
      <w:rFonts w:eastAsiaTheme="minorEastAsia" w:cs="Times New Roman"/>
      <w:sz w:val="24"/>
      <w:szCs w:val="24"/>
    </w:rPr>
  </w:style>
  <w:style w:type="table" w:styleId="TableGrid">
    <w:name w:val="Table Grid"/>
    <w:basedOn w:val="TableNormal"/>
    <w:uiPriority w:val="39"/>
    <w:rsid w:val="00BB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10</cp:revision>
  <cp:lastPrinted>2018-02-23T20:33:00Z</cp:lastPrinted>
  <dcterms:created xsi:type="dcterms:W3CDTF">2018-02-23T19:31:00Z</dcterms:created>
  <dcterms:modified xsi:type="dcterms:W3CDTF">2018-03-01T18:49:00Z</dcterms:modified>
</cp:coreProperties>
</file>